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t>ICU危重症患者APACH</w:t>
      </w:r>
      <w:r>
        <w:rPr>
          <w:rFonts w:hint="eastAsia" w:ascii="Times New Roman" w:hAnsi="Times New Roman" w:cs="Times New Roman"/>
          <w:sz w:val="28"/>
          <w:szCs w:val="36"/>
          <w:lang w:val="en-US" w:eastAsia="zh-CN"/>
        </w:rPr>
        <w:t>E</w:t>
      </w:r>
      <w:r>
        <w:rPr>
          <w:rFonts w:hint="default" w:ascii="Times New Roman" w:hAnsi="Times New Roman" w:cs="Times New Roman"/>
          <w:sz w:val="28"/>
          <w:szCs w:val="36"/>
          <w:lang w:val="en-US" w:eastAsia="zh-CN"/>
        </w:rPr>
        <w:t>Ⅱ评分变化率和临床预后的关系</w:t>
      </w:r>
    </w:p>
    <w:p>
      <w:pPr>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刘波</w:t>
      </w:r>
      <w:r>
        <w:rPr>
          <w:rFonts w:hint="eastAsia" w:ascii="Times New Roman" w:hAnsi="Times New Roman" w:cs="Times New Roman"/>
          <w:sz w:val="28"/>
          <w:szCs w:val="36"/>
          <w:vertAlign w:val="superscript"/>
          <w:lang w:val="en-US" w:eastAsia="zh-CN"/>
        </w:rPr>
        <w:t>1</w:t>
      </w:r>
      <w:r>
        <w:rPr>
          <w:rFonts w:hint="eastAsia" w:ascii="Times New Roman" w:hAnsi="Times New Roman" w:cs="Times New Roman"/>
          <w:sz w:val="28"/>
          <w:szCs w:val="36"/>
          <w:lang w:val="en-US" w:eastAsia="zh-CN"/>
        </w:rPr>
        <w:t>，单南冰</w:t>
      </w:r>
    </w:p>
    <w:p>
      <w:pPr>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（阜阳市第二人民医院 重症医学科，阜阳 安徽，236000）</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摘要】目的：分析ICU危重症患者APACHEⅡ评分变化率（简称APACHEⅡ变化率）和临床预后的关系。方法：选取ICU收治危重症患者94例作为研究对象并跟踪28d，根据28d生存情况分为生存组（66例）和死亡组（28例）两组，收集第1天APACHEⅡ评分（APACHEⅡ1）、第二天APACHEⅡ评分（APACHEⅡ2）资料，计算APACHEⅡ变化率；对比两组患者之间APACHEⅡ1、APACHEⅡ2和APACHEⅡ变化率的差异；采用ROC曲线的方法比较APACHEⅡ1和APACHEⅡ变化率预测临床预后的差异。结果：死亡组患者APACHEⅡ1、APACHEⅡ2高于生存组，而APACHEⅡ变化率低于生存组，差异显著，具有统计学意义（P＜0.05）；APACHEⅡ变化率和预后呈负相关性（P＜0.05）；ROC曲线结果显示APACHEⅡ变化率预测总体预后的曲线下面积（AUC）为0.880，高于APACHEⅡ1的曲线下面积0.775，差异具有统计学意义（P＜0.05）。APACHEⅡ变化率的最佳界值为0.21（敏感性60.7%，特异性95.5%）。结论：APACHEⅡ变化率对ICU危重症患者临床预后的评估意义高于单纯对APACHEⅡ1的观察。</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【关键词】APACHEⅡ评分；APACHEⅡ评分变化率；重症监护病房；预后</w:t>
      </w:r>
    </w:p>
    <w:p>
      <w:pPr>
        <w:jc w:val="center"/>
        <w:rPr>
          <w:rFonts w:hint="eastAsia" w:ascii="Times New Roman" w:hAnsi="Times New Roman" w:cs="Times New Roman"/>
          <w:sz w:val="28"/>
          <w:szCs w:val="36"/>
          <w:lang w:val="en-US" w:eastAsia="zh-CN"/>
        </w:rPr>
      </w:pPr>
    </w:p>
    <w:p>
      <w:pPr>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Relationship between the variability of</w:t>
      </w:r>
    </w:p>
    <w:p>
      <w:pPr>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APACHEⅡ and prognosis of severe patients from ICU</w:t>
      </w:r>
    </w:p>
    <w:p>
      <w:pPr>
        <w:jc w:val="both"/>
        <w:rPr>
          <w:rFonts w:hint="default"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 xml:space="preserve">【Abstract】Objective: To analysis the relationship between the variability of APACHEⅡ and clinical prognosis of severe patients from ICU. </w:t>
      </w:r>
      <w:r>
        <w:rPr>
          <w:rFonts w:hint="default" w:ascii="Times New Roman" w:hAnsi="Times New Roman" w:cs="Times New Roman"/>
          <w:sz w:val="28"/>
          <w:szCs w:val="36"/>
          <w:lang w:val="en-US" w:eastAsia="zh-CN"/>
        </w:rPr>
        <w:t>Method:94 cases</w:t>
      </w:r>
      <w:r>
        <w:rPr>
          <w:rFonts w:hint="eastAsia" w:ascii="Times New Roman" w:hAnsi="Times New Roman" w:cs="Times New Roman"/>
          <w:sz w:val="28"/>
          <w:szCs w:val="36"/>
          <w:lang w:val="en-US" w:eastAsia="zh-CN"/>
        </w:rPr>
        <w:t xml:space="preserve"> of severe patients from ICU were recruited and followed up for 28 days,all the patients were </w:t>
      </w:r>
      <w:r>
        <w:rPr>
          <w:rFonts w:hint="default" w:ascii="Times New Roman" w:hAnsi="Times New Roman" w:cs="Times New Roman"/>
          <w:sz w:val="28"/>
          <w:szCs w:val="36"/>
          <w:lang w:val="en-US" w:eastAsia="zh-CN"/>
        </w:rPr>
        <w:t>divided into</w:t>
      </w:r>
      <w:r>
        <w:rPr>
          <w:rFonts w:hint="eastAsia" w:ascii="Times New Roman" w:hAnsi="Times New Roman" w:cs="Times New Roman"/>
          <w:sz w:val="28"/>
          <w:szCs w:val="36"/>
          <w:lang w:val="en-US" w:eastAsia="zh-CN"/>
        </w:rPr>
        <w:t xml:space="preserve"> </w:t>
      </w:r>
      <w:r>
        <w:rPr>
          <w:rFonts w:hint="default" w:ascii="Times New Roman" w:hAnsi="Times New Roman" w:cs="Times New Roman"/>
          <w:sz w:val="28"/>
          <w:szCs w:val="36"/>
          <w:lang w:val="en-US" w:eastAsia="zh-CN"/>
        </w:rPr>
        <w:t>survival group (66 cases) and death group (28 cases)</w:t>
      </w:r>
      <w:r>
        <w:rPr>
          <w:rFonts w:hint="eastAsia" w:ascii="Times New Roman" w:hAnsi="Times New Roman" w:cs="Times New Roman"/>
          <w:sz w:val="28"/>
          <w:szCs w:val="36"/>
          <w:lang w:val="en-US" w:eastAsia="zh-CN"/>
        </w:rPr>
        <w:t xml:space="preserve"> </w:t>
      </w:r>
      <w:r>
        <w:rPr>
          <w:rFonts w:hint="default" w:ascii="Times New Roman" w:hAnsi="Times New Roman" w:cs="Times New Roman"/>
          <w:sz w:val="28"/>
          <w:szCs w:val="36"/>
          <w:lang w:val="en-US" w:eastAsia="zh-CN"/>
        </w:rPr>
        <w:t>according to the 28 d survival situation</w:t>
      </w:r>
      <w:r>
        <w:rPr>
          <w:rFonts w:hint="eastAsia" w:ascii="Times New Roman" w:hAnsi="Times New Roman" w:cs="Times New Roman"/>
          <w:sz w:val="28"/>
          <w:szCs w:val="36"/>
          <w:lang w:val="en-US" w:eastAsia="zh-CN"/>
        </w:rPr>
        <w:t>;</w:t>
      </w:r>
      <w:r>
        <w:rPr>
          <w:rFonts w:hint="default" w:ascii="Times New Roman" w:hAnsi="Times New Roman" w:cs="Times New Roman"/>
          <w:sz w:val="28"/>
          <w:szCs w:val="36"/>
          <w:lang w:val="en-US" w:eastAsia="zh-CN"/>
        </w:rPr>
        <w:t>collect</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 xml:space="preserve">the first </w:t>
      </w:r>
      <w:r>
        <w:rPr>
          <w:rFonts w:hint="default" w:ascii="Times New Roman" w:hAnsi="Times New Roman" w:cs="Times New Roman"/>
          <w:sz w:val="28"/>
          <w:szCs w:val="36"/>
          <w:lang w:val="en-US" w:eastAsia="zh-CN"/>
        </w:rPr>
        <w:t>day APACHEⅡ score</w:t>
      </w:r>
      <w:r>
        <w:rPr>
          <w:rFonts w:hint="eastAsia" w:ascii="Times New Roman" w:hAnsi="Times New Roman" w:cs="Times New Roman"/>
          <w:sz w:val="28"/>
          <w:szCs w:val="36"/>
          <w:lang w:val="en-US" w:eastAsia="zh-CN"/>
        </w:rPr>
        <w:t xml:space="preserve"> (APACHEⅡ1) and </w:t>
      </w:r>
      <w:r>
        <w:rPr>
          <w:rFonts w:hint="default" w:ascii="Times New Roman" w:hAnsi="Times New Roman" w:cs="Times New Roman"/>
          <w:sz w:val="28"/>
          <w:szCs w:val="36"/>
          <w:lang w:val="en-US" w:eastAsia="zh-CN"/>
        </w:rPr>
        <w:t>second day APACHE Ⅱ score (APACHEⅡ</w:t>
      </w:r>
      <w:r>
        <w:rPr>
          <w:rFonts w:hint="eastAsia" w:ascii="Times New Roman" w:hAnsi="Times New Roman" w:cs="Times New Roman"/>
          <w:sz w:val="28"/>
          <w:szCs w:val="36"/>
          <w:lang w:val="en-US" w:eastAsia="zh-CN"/>
        </w:rPr>
        <w:t>2</w:t>
      </w:r>
      <w:r>
        <w:rPr>
          <w:rFonts w:hint="default" w:ascii="Times New Roman" w:hAnsi="Times New Roman" w:cs="Times New Roman"/>
          <w:sz w:val="28"/>
          <w:szCs w:val="36"/>
          <w:lang w:val="en-US" w:eastAsia="zh-CN"/>
        </w:rPr>
        <w:t>) data</w:t>
      </w:r>
      <w:r>
        <w:rPr>
          <w:rFonts w:hint="eastAsia" w:ascii="Times New Roman" w:hAnsi="Times New Roman" w:cs="Times New Roman"/>
          <w:sz w:val="28"/>
          <w:szCs w:val="36"/>
          <w:lang w:val="en-US" w:eastAsia="zh-CN"/>
        </w:rPr>
        <w:t>,</w:t>
      </w:r>
      <w:r>
        <w:rPr>
          <w:rFonts w:hint="default" w:ascii="Times New Roman" w:hAnsi="Times New Roman" w:cs="Times New Roman"/>
          <w:sz w:val="28"/>
          <w:szCs w:val="36"/>
          <w:lang w:val="en-US" w:eastAsia="zh-CN"/>
        </w:rPr>
        <w:t>calculate</w:t>
      </w:r>
      <w:r>
        <w:rPr>
          <w:rFonts w:hint="eastAsia" w:ascii="Times New Roman" w:hAnsi="Times New Roman" w:cs="Times New Roman"/>
          <w:sz w:val="28"/>
          <w:szCs w:val="36"/>
          <w:lang w:val="en-US" w:eastAsia="zh-CN"/>
        </w:rPr>
        <w:t xml:space="preserve"> the variability of APACHEⅡ.Compare the difference of APACHEⅡ1,</w:t>
      </w:r>
      <w:r>
        <w:rPr>
          <w:rFonts w:hint="default" w:ascii="Times New Roman" w:hAnsi="Times New Roman" w:cs="Times New Roman"/>
          <w:sz w:val="28"/>
          <w:szCs w:val="36"/>
          <w:lang w:val="en-US" w:eastAsia="zh-CN"/>
        </w:rPr>
        <w:t>APACHEⅡ</w:t>
      </w:r>
      <w:r>
        <w:rPr>
          <w:rFonts w:hint="eastAsia" w:ascii="Times New Roman" w:hAnsi="Times New Roman" w:cs="Times New Roman"/>
          <w:sz w:val="28"/>
          <w:szCs w:val="36"/>
          <w:lang w:val="en-US" w:eastAsia="zh-CN"/>
        </w:rPr>
        <w:t>2 and the variability of APACHEⅡ between two groups.</w:t>
      </w:r>
      <w:r>
        <w:rPr>
          <w:rFonts w:hint="default" w:ascii="Times New Roman" w:hAnsi="Times New Roman" w:cs="Times New Roman"/>
          <w:sz w:val="28"/>
          <w:szCs w:val="36"/>
          <w:lang w:val="en-US" w:eastAsia="zh-CN"/>
        </w:rPr>
        <w:t>ROC curve method</w:t>
      </w:r>
      <w:r>
        <w:rPr>
          <w:rFonts w:hint="eastAsia" w:ascii="Times New Roman" w:hAnsi="Times New Roman" w:cs="Times New Roman"/>
          <w:sz w:val="28"/>
          <w:szCs w:val="36"/>
          <w:lang w:val="en-US" w:eastAsia="zh-CN"/>
        </w:rPr>
        <w:t xml:space="preserve"> was carried out to </w:t>
      </w:r>
      <w:r>
        <w:rPr>
          <w:rFonts w:hint="default" w:ascii="Times New Roman" w:hAnsi="Times New Roman" w:cs="Times New Roman"/>
          <w:sz w:val="28"/>
          <w:szCs w:val="36"/>
          <w:lang w:val="en-US" w:eastAsia="zh-CN"/>
        </w:rPr>
        <w:t>compare</w:t>
      </w:r>
      <w:r>
        <w:rPr>
          <w:rFonts w:hint="eastAsia" w:ascii="Times New Roman" w:hAnsi="Times New Roman" w:cs="Times New Roman"/>
          <w:sz w:val="28"/>
          <w:szCs w:val="36"/>
          <w:lang w:val="en-US" w:eastAsia="zh-CN"/>
        </w:rPr>
        <w:t xml:space="preserve"> the difference of APACHEⅡ1 and variability of APACHEⅡ in the assessment of </w:t>
      </w:r>
      <w:r>
        <w:rPr>
          <w:rFonts w:hint="default" w:ascii="Times New Roman" w:hAnsi="Times New Roman" w:cs="Times New Roman"/>
          <w:sz w:val="28"/>
          <w:szCs w:val="36"/>
          <w:lang w:val="en-US" w:eastAsia="zh-CN"/>
        </w:rPr>
        <w:t>clinical prognosis</w:t>
      </w:r>
      <w:r>
        <w:rPr>
          <w:rFonts w:hint="eastAsia" w:ascii="Times New Roman" w:hAnsi="Times New Roman" w:cs="Times New Roman"/>
          <w:sz w:val="28"/>
          <w:szCs w:val="36"/>
          <w:lang w:val="en-US" w:eastAsia="zh-CN"/>
        </w:rPr>
        <w:t>.</w:t>
      </w:r>
      <w:r>
        <w:rPr>
          <w:rFonts w:hint="default" w:ascii="Times New Roman" w:hAnsi="Times New Roman" w:cs="Times New Roman"/>
          <w:sz w:val="28"/>
          <w:szCs w:val="36"/>
          <w:lang w:val="en-US" w:eastAsia="zh-CN"/>
        </w:rPr>
        <w:t>.</w:t>
      </w:r>
      <w:r>
        <w:rPr>
          <w:rFonts w:hint="eastAsia" w:ascii="Times New Roman" w:hAnsi="Times New Roman" w:cs="Times New Roman"/>
          <w:sz w:val="28"/>
          <w:szCs w:val="36"/>
          <w:lang w:val="en-US" w:eastAsia="zh-CN"/>
        </w:rPr>
        <w:t xml:space="preserve">Results: The APACHEⅡ1 and APACHEⅡ2 in death group were higher than that of </w:t>
      </w:r>
      <w:r>
        <w:rPr>
          <w:rFonts w:hint="default" w:ascii="Times New Roman" w:hAnsi="Times New Roman" w:cs="Times New Roman"/>
          <w:sz w:val="28"/>
          <w:szCs w:val="36"/>
          <w:lang w:val="en-US" w:eastAsia="zh-CN"/>
        </w:rPr>
        <w:t>survival group</w:t>
      </w:r>
      <w:r>
        <w:rPr>
          <w:rFonts w:hint="eastAsia" w:ascii="Times New Roman" w:hAnsi="Times New Roman" w:cs="Times New Roman"/>
          <w:sz w:val="28"/>
          <w:szCs w:val="36"/>
          <w:lang w:val="en-US" w:eastAsia="zh-CN"/>
        </w:rPr>
        <w:t xml:space="preserve">,while the variability of APACHEⅡ was lower than  </w:t>
      </w:r>
      <w:r>
        <w:rPr>
          <w:rFonts w:hint="default" w:ascii="Times New Roman" w:hAnsi="Times New Roman" w:cs="Times New Roman"/>
          <w:sz w:val="28"/>
          <w:szCs w:val="36"/>
          <w:lang w:val="en-US" w:eastAsia="zh-CN"/>
        </w:rPr>
        <w:t>survival group</w:t>
      </w:r>
      <w:r>
        <w:rPr>
          <w:rFonts w:hint="eastAsia" w:ascii="Times New Roman" w:hAnsi="Times New Roman" w:cs="Times New Roman"/>
          <w:sz w:val="28"/>
          <w:szCs w:val="36"/>
          <w:lang w:val="en-US" w:eastAsia="zh-CN"/>
        </w:rPr>
        <w:t xml:space="preserve">,differences with statistically significant (P&lt;0.05).There was </w:t>
      </w:r>
      <w:r>
        <w:rPr>
          <w:rFonts w:hint="default" w:ascii="Times New Roman" w:hAnsi="Times New Roman" w:cs="Times New Roman"/>
          <w:sz w:val="28"/>
          <w:szCs w:val="36"/>
          <w:lang w:val="en-US" w:eastAsia="zh-CN"/>
        </w:rPr>
        <w:t>negative correlation</w:t>
      </w:r>
      <w:r>
        <w:rPr>
          <w:rFonts w:hint="eastAsia" w:ascii="Times New Roman" w:hAnsi="Times New Roman" w:cs="Times New Roman"/>
          <w:sz w:val="28"/>
          <w:szCs w:val="36"/>
          <w:lang w:val="en-US" w:eastAsia="zh-CN"/>
        </w:rPr>
        <w:t xml:space="preserve"> between variability of APACHEⅡ and </w:t>
      </w:r>
      <w:r>
        <w:rPr>
          <w:rFonts w:hint="default" w:ascii="Times New Roman" w:hAnsi="Times New Roman" w:cs="Times New Roman"/>
          <w:sz w:val="28"/>
          <w:szCs w:val="36"/>
          <w:lang w:val="en-US" w:eastAsia="zh-CN"/>
        </w:rPr>
        <w:t>prognosis</w:t>
      </w:r>
      <w:r>
        <w:rPr>
          <w:rFonts w:hint="eastAsia" w:ascii="Times New Roman" w:hAnsi="Times New Roman" w:cs="Times New Roman"/>
          <w:sz w:val="28"/>
          <w:szCs w:val="36"/>
          <w:lang w:val="en-US" w:eastAsia="zh-CN"/>
        </w:rPr>
        <w:t>(P&lt;0.05);</w:t>
      </w:r>
      <w:r>
        <w:rPr>
          <w:rFonts w:hint="default" w:ascii="Times New Roman" w:hAnsi="Times New Roman" w:cs="Times New Roman"/>
          <w:sz w:val="28"/>
          <w:szCs w:val="36"/>
          <w:lang w:val="en-US" w:eastAsia="zh-CN"/>
        </w:rPr>
        <w:t>ROC curve show</w:t>
      </w:r>
      <w:r>
        <w:rPr>
          <w:rFonts w:hint="eastAsia" w:ascii="Times New Roman" w:hAnsi="Times New Roman" w:cs="Times New Roman"/>
          <w:sz w:val="28"/>
          <w:szCs w:val="36"/>
          <w:lang w:val="en-US" w:eastAsia="zh-CN"/>
        </w:rPr>
        <w:t xml:space="preserve">ed that </w:t>
      </w:r>
      <w:r>
        <w:rPr>
          <w:rFonts w:hint="default" w:ascii="Times New Roman" w:hAnsi="Times New Roman" w:cs="Times New Roman"/>
          <w:sz w:val="28"/>
          <w:szCs w:val="36"/>
          <w:lang w:val="en-US" w:eastAsia="zh-CN"/>
        </w:rPr>
        <w:t>the area under the curve (AUC)</w:t>
      </w:r>
      <w:r>
        <w:rPr>
          <w:rFonts w:hint="eastAsia" w:ascii="Times New Roman" w:hAnsi="Times New Roman" w:cs="Times New Roman"/>
          <w:sz w:val="28"/>
          <w:szCs w:val="36"/>
          <w:lang w:val="en-US" w:eastAsia="zh-CN"/>
        </w:rPr>
        <w:t xml:space="preserve"> of the variability of APACHEⅡ when the assessment of </w:t>
      </w:r>
      <w:r>
        <w:rPr>
          <w:rFonts w:hint="default" w:ascii="Times New Roman" w:hAnsi="Times New Roman" w:cs="Times New Roman"/>
          <w:sz w:val="28"/>
          <w:szCs w:val="36"/>
          <w:lang w:val="en-US" w:eastAsia="zh-CN"/>
        </w:rPr>
        <w:t>overall prognosis</w:t>
      </w:r>
      <w:r>
        <w:rPr>
          <w:rFonts w:hint="eastAsia" w:ascii="Times New Roman" w:hAnsi="Times New Roman" w:cs="Times New Roman"/>
          <w:sz w:val="28"/>
          <w:szCs w:val="36"/>
          <w:lang w:val="en-US" w:eastAsia="zh-CN"/>
        </w:rPr>
        <w:t xml:space="preserve"> was 0.880,higher than that of APACHEⅡ1(0.775),with </w:t>
      </w:r>
      <w:r>
        <w:rPr>
          <w:rFonts w:hint="default" w:ascii="Times New Roman" w:hAnsi="Times New Roman" w:cs="Times New Roman"/>
          <w:sz w:val="28"/>
          <w:szCs w:val="36"/>
          <w:lang w:val="en-US" w:eastAsia="zh-CN"/>
        </w:rPr>
        <w:t>statistically significant differences</w:t>
      </w:r>
      <w:r>
        <w:rPr>
          <w:rFonts w:hint="eastAsia" w:ascii="Times New Roman" w:hAnsi="Times New Roman" w:cs="Times New Roman"/>
          <w:sz w:val="28"/>
          <w:szCs w:val="36"/>
          <w:lang w:val="en-US" w:eastAsia="zh-CN"/>
        </w:rPr>
        <w:t xml:space="preserve"> (P&lt;0.05).The cut-off of the variability of APACHEⅡ was 0.21</w:t>
      </w:r>
      <w:r>
        <w:rPr>
          <w:rFonts w:hint="default" w:ascii="Times New Roman" w:hAnsi="Times New Roman" w:cs="Times New Roman"/>
          <w:sz w:val="28"/>
          <w:szCs w:val="36"/>
          <w:lang w:val="en-US" w:eastAsia="zh-CN"/>
        </w:rPr>
        <w:t xml:space="preserve"> (sensitivity 60.7%, specificity 95.5%)</w:t>
      </w:r>
      <w:r>
        <w:rPr>
          <w:rFonts w:hint="eastAsia" w:ascii="Times New Roman" w:hAnsi="Times New Roman" w:cs="Times New Roman"/>
          <w:sz w:val="28"/>
          <w:szCs w:val="36"/>
          <w:lang w:val="en-US" w:eastAsia="zh-CN"/>
        </w:rPr>
        <w:t xml:space="preserve">. </w:t>
      </w:r>
      <w:r>
        <w:rPr>
          <w:rFonts w:hint="default" w:ascii="Times New Roman" w:hAnsi="Times New Roman" w:cs="Times New Roman"/>
          <w:sz w:val="28"/>
          <w:szCs w:val="36"/>
          <w:lang w:val="en-US" w:eastAsia="zh-CN"/>
        </w:rPr>
        <w:t>Conclusion</w:t>
      </w:r>
      <w:r>
        <w:rPr>
          <w:rFonts w:hint="eastAsia" w:ascii="Times New Roman" w:hAnsi="Times New Roman" w:cs="Times New Roman"/>
          <w:sz w:val="28"/>
          <w:szCs w:val="36"/>
          <w:lang w:val="en-US" w:eastAsia="zh-CN"/>
        </w:rPr>
        <w:t xml:space="preserve">:The variability of APACHEⅡin </w:t>
      </w:r>
      <w:r>
        <w:rPr>
          <w:rFonts w:hint="default" w:ascii="Times New Roman" w:hAnsi="Times New Roman" w:cs="Times New Roman"/>
          <w:sz w:val="28"/>
          <w:szCs w:val="36"/>
          <w:lang w:val="en-US" w:eastAsia="zh-CN"/>
        </w:rPr>
        <w:t>evaluation</w:t>
      </w:r>
      <w:r>
        <w:rPr>
          <w:rFonts w:hint="eastAsia" w:ascii="Times New Roman" w:hAnsi="Times New Roman" w:cs="Times New Roman"/>
          <w:sz w:val="28"/>
          <w:szCs w:val="36"/>
          <w:lang w:val="en-US" w:eastAsia="zh-CN"/>
        </w:rPr>
        <w:t xml:space="preserve"> of clinical prognosis of ICU severe patients was better than </w:t>
      </w:r>
      <w:r>
        <w:rPr>
          <w:rFonts w:hint="default" w:ascii="Times New Roman" w:hAnsi="Times New Roman" w:cs="Times New Roman"/>
          <w:sz w:val="28"/>
          <w:szCs w:val="36"/>
          <w:lang w:val="en-US" w:eastAsia="zh-CN"/>
        </w:rPr>
        <w:t>observ</w:t>
      </w:r>
      <w:r>
        <w:rPr>
          <w:rFonts w:hint="eastAsia" w:ascii="Times New Roman" w:hAnsi="Times New Roman" w:cs="Times New Roman"/>
          <w:sz w:val="28"/>
          <w:szCs w:val="36"/>
          <w:lang w:val="en-US" w:eastAsia="zh-CN"/>
        </w:rPr>
        <w:t>e APACHEⅡ1 alone.</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[Key word]APACHEⅡ score;variability of APACHEⅡ;intensive care unit;prognosis</w:t>
      </w:r>
    </w:p>
    <w:p>
      <w:pPr>
        <w:ind w:firstLine="544"/>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急性生理与慢性健康状况评分Ⅱ（acute physiology and chronic health evalutionⅡ, APACHEⅡ）是当前重症监护病房（ICU）常用的病情量化评估工具，依据患者临床症状、体征和生理参数进行赋值和加权，进而对疾病的严重程度进行量化，从而帮助预测患者的死亡风险和预后的好坏</w:t>
      </w:r>
      <w:r>
        <w:rPr>
          <w:rFonts w:hint="eastAsia" w:ascii="Times New Roman" w:hAnsi="Times New Roman" w:cs="Times New Roman"/>
          <w:sz w:val="28"/>
          <w:szCs w:val="36"/>
          <w:vertAlign w:val="superscript"/>
          <w:lang w:val="en-US" w:eastAsia="zh-CN"/>
        </w:rPr>
        <w:t>[1]</w:t>
      </w:r>
      <w:r>
        <w:rPr>
          <w:rFonts w:hint="eastAsia" w:ascii="Times New Roman" w:hAnsi="Times New Roman" w:cs="Times New Roman"/>
          <w:sz w:val="28"/>
          <w:szCs w:val="36"/>
          <w:lang w:val="en-US" w:eastAsia="zh-CN"/>
        </w:rPr>
        <w:t>。APACHEⅡ系统是在APACHEⅠ评分系统基础上的优化和改良，具有更强的科学性和成熟性，临床应用十分广泛。但是，近年来有研究指出，危重症患者病情变化急骤，除了观察入院时APACHEⅡ评分结果，还需要综合考虑治疗因素对疾病转归的影响，进而衍生出APACHEⅡ评分变化率的概念</w:t>
      </w:r>
      <w:r>
        <w:rPr>
          <w:rFonts w:hint="eastAsia" w:ascii="Times New Roman" w:hAnsi="Times New Roman" w:cs="Times New Roman"/>
          <w:sz w:val="28"/>
          <w:szCs w:val="36"/>
          <w:vertAlign w:val="superscript"/>
          <w:lang w:val="en-US" w:eastAsia="zh-CN"/>
        </w:rPr>
        <w:t>[2]</w:t>
      </w:r>
      <w:r>
        <w:rPr>
          <w:rFonts w:hint="eastAsia" w:ascii="Times New Roman" w:hAnsi="Times New Roman" w:cs="Times New Roman"/>
          <w:sz w:val="28"/>
          <w:szCs w:val="36"/>
          <w:lang w:val="en-US" w:eastAsia="zh-CN"/>
        </w:rPr>
        <w:t>。当前对于APACHEⅡ变化率的研究刚刚起步，在此基础上，本研究通过我院ICU收治94例危重症患者APACHEⅡ评分结果进行分析，旨在分析APACHEⅡ变化率和危重症患者临床预后的关系，内容如下：</w:t>
      </w:r>
    </w:p>
    <w:p>
      <w:pPr>
        <w:numPr>
          <w:ilvl w:val="0"/>
          <w:numId w:val="1"/>
        </w:num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资料和方法</w:t>
      </w:r>
    </w:p>
    <w:p>
      <w:pPr>
        <w:numPr>
          <w:ilvl w:val="0"/>
          <w:numId w:val="0"/>
        </w:num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1.1 临床资料</w:t>
      </w:r>
    </w:p>
    <w:p>
      <w:p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rPr>
        <w:t>选取201</w:t>
      </w:r>
      <w:r>
        <w:rPr>
          <w:rFonts w:hint="eastAsia" w:ascii="Times New Roman" w:hAnsi="Times New Roman" w:cs="Times New Roman"/>
          <w:sz w:val="28"/>
          <w:szCs w:val="36"/>
          <w:lang w:val="en-US" w:eastAsia="zh-CN"/>
        </w:rPr>
        <w:t>5</w:t>
      </w:r>
      <w:r>
        <w:rPr>
          <w:rFonts w:hint="eastAsia" w:ascii="Times New Roman" w:hAnsi="Times New Roman" w:cs="Times New Roman"/>
          <w:sz w:val="28"/>
          <w:szCs w:val="36"/>
        </w:rPr>
        <w:t>年</w:t>
      </w:r>
      <w:r>
        <w:rPr>
          <w:rFonts w:hint="eastAsia" w:ascii="Times New Roman" w:hAnsi="Times New Roman" w:cs="Times New Roman"/>
          <w:sz w:val="28"/>
          <w:szCs w:val="36"/>
          <w:lang w:val="en-US" w:eastAsia="zh-CN"/>
        </w:rPr>
        <w:t>9</w:t>
      </w:r>
      <w:r>
        <w:rPr>
          <w:rFonts w:hint="eastAsia" w:ascii="Times New Roman" w:hAnsi="Times New Roman" w:cs="Times New Roman"/>
          <w:sz w:val="28"/>
          <w:szCs w:val="36"/>
        </w:rPr>
        <w:t>月~2016年9月间我</w:t>
      </w:r>
      <w:r>
        <w:rPr>
          <w:rFonts w:hint="eastAsia" w:ascii="Times New Roman" w:hAnsi="Times New Roman" w:cs="Times New Roman"/>
          <w:sz w:val="28"/>
          <w:szCs w:val="36"/>
          <w:lang w:eastAsia="zh-CN"/>
        </w:rPr>
        <w:t>院</w:t>
      </w:r>
      <w:r>
        <w:rPr>
          <w:rFonts w:hint="eastAsia" w:ascii="Times New Roman" w:hAnsi="Times New Roman" w:cs="Times New Roman"/>
          <w:sz w:val="28"/>
          <w:szCs w:val="36"/>
          <w:lang w:val="en-US" w:eastAsia="zh-CN"/>
        </w:rPr>
        <w:t>ICU收治危重症患者94例作为研究对象，男性61例，女性33例，年龄20~77岁，平均年龄54.7±6.5岁。其中</w:t>
      </w:r>
      <w:r>
        <w:rPr>
          <w:rFonts w:hint="eastAsia" w:ascii="Times New Roman" w:hAnsi="Times New Roman" w:cs="Times New Roman"/>
          <w:sz w:val="28"/>
          <w:szCs w:val="36"/>
        </w:rPr>
        <w:t>重症感染、感染性性休克者1</w:t>
      </w:r>
      <w:r>
        <w:rPr>
          <w:rFonts w:hint="eastAsia" w:ascii="Times New Roman" w:hAnsi="Times New Roman" w:cs="Times New Roman"/>
          <w:sz w:val="28"/>
          <w:szCs w:val="36"/>
          <w:lang w:val="en-US" w:eastAsia="zh-CN"/>
        </w:rPr>
        <w:t>7</w:t>
      </w:r>
      <w:r>
        <w:rPr>
          <w:rFonts w:hint="eastAsia" w:ascii="Times New Roman" w:hAnsi="Times New Roman" w:cs="Times New Roman"/>
          <w:sz w:val="28"/>
          <w:szCs w:val="36"/>
        </w:rPr>
        <w:t>例</w:t>
      </w:r>
      <w:r>
        <w:rPr>
          <w:rFonts w:hint="eastAsia" w:ascii="Times New Roman" w:hAnsi="Times New Roman" w:cs="Times New Roman"/>
          <w:sz w:val="28"/>
          <w:szCs w:val="36"/>
          <w:lang w:eastAsia="zh-CN"/>
        </w:rPr>
        <w:t>，多发伤</w:t>
      </w:r>
      <w:r>
        <w:rPr>
          <w:rFonts w:hint="eastAsia" w:ascii="Times New Roman" w:hAnsi="Times New Roman" w:cs="Times New Roman"/>
          <w:sz w:val="28"/>
          <w:szCs w:val="36"/>
          <w:lang w:val="en-US" w:eastAsia="zh-CN"/>
        </w:rPr>
        <w:t>13例，COPD、呼吸衰竭12例，</w:t>
      </w:r>
      <w:r>
        <w:rPr>
          <w:rFonts w:hint="eastAsia" w:ascii="Times New Roman" w:hAnsi="Times New Roman" w:cs="Times New Roman"/>
          <w:sz w:val="28"/>
          <w:szCs w:val="36"/>
          <w:lang w:eastAsia="zh-CN"/>
        </w:rPr>
        <w:t>脑卒中</w:t>
      </w:r>
      <w:r>
        <w:rPr>
          <w:rFonts w:hint="eastAsia" w:ascii="Times New Roman" w:hAnsi="Times New Roman" w:cs="Times New Roman"/>
          <w:sz w:val="28"/>
          <w:szCs w:val="36"/>
          <w:lang w:val="en-US" w:eastAsia="zh-CN"/>
        </w:rPr>
        <w:t>10例，</w:t>
      </w:r>
      <w:r>
        <w:rPr>
          <w:rFonts w:hint="eastAsia" w:ascii="Times New Roman" w:hAnsi="Times New Roman" w:cs="Times New Roman"/>
          <w:sz w:val="28"/>
          <w:szCs w:val="36"/>
        </w:rPr>
        <w:t>急性左心泵衰竭9例，多器官功能障碍综合症8例，急性心肌梗死</w:t>
      </w:r>
      <w:r>
        <w:rPr>
          <w:rFonts w:hint="eastAsia" w:ascii="Times New Roman" w:hAnsi="Times New Roman" w:cs="Times New Roman"/>
          <w:sz w:val="28"/>
          <w:szCs w:val="36"/>
          <w:lang w:val="en-US" w:eastAsia="zh-CN"/>
        </w:rPr>
        <w:t>7例</w:t>
      </w:r>
      <w:r>
        <w:rPr>
          <w:rFonts w:hint="eastAsia" w:ascii="Times New Roman" w:hAnsi="Times New Roman" w:cs="Times New Roman"/>
          <w:sz w:val="28"/>
          <w:szCs w:val="36"/>
        </w:rPr>
        <w:t>，急性肾功能衰竭5例，</w:t>
      </w:r>
      <w:r>
        <w:rPr>
          <w:rFonts w:hint="eastAsia" w:ascii="Times New Roman" w:hAnsi="Times New Roman" w:cs="Times New Roman"/>
          <w:sz w:val="28"/>
          <w:szCs w:val="36"/>
          <w:lang w:eastAsia="zh-CN"/>
        </w:rPr>
        <w:t>消化道出血</w:t>
      </w:r>
      <w:r>
        <w:rPr>
          <w:rFonts w:hint="eastAsia" w:ascii="Times New Roman" w:hAnsi="Times New Roman" w:cs="Times New Roman"/>
          <w:sz w:val="28"/>
          <w:szCs w:val="36"/>
          <w:lang w:val="en-US" w:eastAsia="zh-CN"/>
        </w:rPr>
        <w:t>5例，</w:t>
      </w:r>
      <w:r>
        <w:rPr>
          <w:rFonts w:hint="eastAsia" w:ascii="Times New Roman" w:hAnsi="Times New Roman" w:cs="Times New Roman"/>
          <w:sz w:val="28"/>
          <w:szCs w:val="36"/>
        </w:rPr>
        <w:t>重症坏死性胰腺炎</w:t>
      </w:r>
      <w:r>
        <w:rPr>
          <w:rFonts w:hint="eastAsia" w:ascii="Times New Roman" w:hAnsi="Times New Roman" w:cs="Times New Roman"/>
          <w:sz w:val="28"/>
          <w:szCs w:val="36"/>
          <w:lang w:val="en-US" w:eastAsia="zh-CN"/>
        </w:rPr>
        <w:t>3</w:t>
      </w:r>
      <w:r>
        <w:rPr>
          <w:rFonts w:hint="eastAsia" w:ascii="Times New Roman" w:hAnsi="Times New Roman" w:cs="Times New Roman"/>
          <w:sz w:val="28"/>
          <w:szCs w:val="36"/>
        </w:rPr>
        <w:t>例，其他重症疾病5例。</w:t>
      </w:r>
      <w:r>
        <w:rPr>
          <w:rFonts w:hint="eastAsia" w:ascii="Times New Roman" w:hAnsi="Times New Roman" w:cs="Times New Roman"/>
          <w:sz w:val="28"/>
          <w:szCs w:val="36"/>
          <w:lang w:eastAsia="zh-CN"/>
        </w:rPr>
        <w:t>排除以下患者：①入院后</w:t>
      </w:r>
      <w:r>
        <w:rPr>
          <w:rFonts w:hint="eastAsia" w:ascii="Times New Roman" w:hAnsi="Times New Roman" w:cs="Times New Roman"/>
          <w:sz w:val="28"/>
          <w:szCs w:val="36"/>
          <w:lang w:val="en-US" w:eastAsia="zh-CN"/>
        </w:rPr>
        <w:t>24h内死亡者；②入院后48h以内转科、出院者；③选择放弃治疗自动出院者；④无法完成28d随访者。</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1.2 观察指标和分组</w:t>
      </w:r>
    </w:p>
    <w:p>
      <w:p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分别于入院后第1d、第2d对患者行APACHEⅡ评分，分别记为APACHEⅡ1和APACHEⅡ2，评分内容包括患者年龄、一般生命体征（体温、呼吸频率、心率、平均动脉压）、动脉氧分压、血清pH值、电解质（Na</w:t>
      </w:r>
      <w:r>
        <w:rPr>
          <w:rFonts w:hint="eastAsia" w:ascii="Times New Roman" w:hAnsi="Times New Roman" w:cs="Times New Roman"/>
          <w:sz w:val="28"/>
          <w:szCs w:val="36"/>
          <w:vertAlign w:val="superscript"/>
          <w:lang w:val="en-US" w:eastAsia="zh-CN"/>
        </w:rPr>
        <w:t>+</w:t>
      </w:r>
      <w:r>
        <w:rPr>
          <w:rFonts w:hint="eastAsia" w:ascii="Times New Roman" w:hAnsi="Times New Roman" w:cs="Times New Roman"/>
          <w:sz w:val="28"/>
          <w:szCs w:val="36"/>
          <w:lang w:val="en-US" w:eastAsia="zh-CN"/>
        </w:rPr>
        <w:t>、K</w:t>
      </w:r>
      <w:r>
        <w:rPr>
          <w:rFonts w:hint="eastAsia" w:ascii="Times New Roman" w:hAnsi="Times New Roman" w:cs="Times New Roman"/>
          <w:sz w:val="28"/>
          <w:szCs w:val="36"/>
          <w:vertAlign w:val="superscript"/>
          <w:lang w:val="en-US" w:eastAsia="zh-CN"/>
        </w:rPr>
        <w:t>+</w:t>
      </w:r>
      <w:r>
        <w:rPr>
          <w:rFonts w:hint="eastAsia" w:ascii="Times New Roman" w:hAnsi="Times New Roman" w:cs="Times New Roman"/>
          <w:sz w:val="28"/>
          <w:szCs w:val="36"/>
          <w:lang w:val="en-US" w:eastAsia="zh-CN"/>
        </w:rPr>
        <w:t>）、红细胞压积、白细胞计数、血肌酐、格拉斯哥昏迷评分以及慢性健康状态。计算APACHEⅡ评分变化率=（APACHEⅡ1-APACHEⅡ2）/APACHEⅡ1。</w:t>
      </w:r>
    </w:p>
    <w:p>
      <w:p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分组方法：对所有患者跟踪随访28d，从患者入院当日计算，向后延伸28d，28d内出院者采用门诊随访、电话随访的方式完成。根据28d生存情况分为生存组（66例）和死亡组（28例）两组。两组患者性别、年龄之间无统计学差异，具有可比性（P＞0.05）。</w:t>
      </w:r>
    </w:p>
    <w:p>
      <w:p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1.3 统计学处理</w:t>
      </w:r>
    </w:p>
    <w:p>
      <w:pPr>
        <w:ind w:firstLine="560"/>
        <w:rPr>
          <w:rFonts w:hint="eastAsia" w:ascii="Times New Roman" w:hAnsi="Times New Roman" w:cs="Times New Roman"/>
          <w:sz w:val="28"/>
          <w:szCs w:val="28"/>
        </w:rPr>
      </w:pPr>
      <w:r>
        <w:rPr>
          <w:rFonts w:hint="eastAsia" w:ascii="Times New Roman" w:hAnsi="Times New Roman" w:cs="Times New Roman"/>
          <w:sz w:val="28"/>
          <w:szCs w:val="36"/>
        </w:rPr>
        <w:t>Excel表格建立数据库，SPSS15.0软件进行数据处理。</w:t>
      </w:r>
      <w:r>
        <w:rPr>
          <w:rFonts w:hint="eastAsia"/>
          <w:sz w:val="28"/>
          <w:szCs w:val="28"/>
        </w:rPr>
        <w:t>定量资料以均数±标准差（</w:t>
      </w:r>
      <w:r>
        <w:rPr>
          <w:rFonts w:hint="eastAsia"/>
          <w:sz w:val="28"/>
          <w:szCs w:val="28"/>
        </w:rPr>
        <w:object>
          <v:shape id="_x0000_i1025" o:spt="75" type="#_x0000_t75" style="height:17.25pt;width:9.75pt;" o:ole="t" filled="f" o:preferrelative="t" stroked="f" coordsize="21600,21600">
            <v:path/>
            <v:fill on="f" focussize="0,0"/>
            <v:stroke on="f" joinstyle="miter"/>
            <v:imagedata r:id="rId9" o:title=""/>
            <o:lock v:ext="edit" aspectratio="t"/>
            <w10:wrap type="none"/>
            <w10:anchorlock/>
          </v:shape>
          <o:OLEObject Type="Embed" ProgID="Equation.3" ShapeID="_x0000_i1025" DrawAspect="Content" ObjectID="_1468075725" r:id="rId8">
            <o:LockedField>false</o:LockedField>
          </o:OLEObject>
        </w:object>
      </w:r>
      <w:r>
        <w:rPr>
          <w:rFonts w:hint="eastAsia"/>
          <w:sz w:val="28"/>
          <w:szCs w:val="28"/>
        </w:rPr>
        <w:t>±</w:t>
      </w:r>
      <w:r>
        <w:rPr>
          <w:rFonts w:ascii="Times New Roman" w:hAnsi="Times New Roman" w:cs="Times New Roman"/>
          <w:sz w:val="28"/>
          <w:szCs w:val="28"/>
        </w:rPr>
        <w:t>s</w:t>
      </w:r>
      <w:r>
        <w:rPr>
          <w:rFonts w:hint="eastAsia"/>
          <w:sz w:val="28"/>
          <w:szCs w:val="28"/>
        </w:rPr>
        <w:t>）</w:t>
      </w:r>
      <w:r>
        <w:rPr>
          <w:rFonts w:hint="eastAsia"/>
          <w:bCs/>
          <w:color w:val="000000"/>
          <w:sz w:val="24"/>
        </w:rPr>
        <w:t>表</w:t>
      </w:r>
      <w:r>
        <w:rPr>
          <w:rFonts w:hint="eastAsia"/>
          <w:sz w:val="28"/>
          <w:szCs w:val="28"/>
        </w:rPr>
        <w:t>示，两组间差异行</w:t>
      </w:r>
      <w:r>
        <w:rPr>
          <w:rFonts w:ascii="Times New Roman" w:hAnsi="Times New Roman" w:cs="Times New Roman"/>
          <w:i/>
          <w:iCs/>
          <w:sz w:val="28"/>
          <w:szCs w:val="28"/>
        </w:rPr>
        <w:t>t</w:t>
      </w:r>
      <w:r>
        <w:rPr>
          <w:rFonts w:hint="eastAsia"/>
          <w:sz w:val="28"/>
          <w:szCs w:val="28"/>
        </w:rPr>
        <w:t>检验。定性资料卡方检验。</w:t>
      </w:r>
      <w:r>
        <w:rPr>
          <w:rFonts w:hint="eastAsia"/>
          <w:sz w:val="28"/>
          <w:szCs w:val="28"/>
          <w:lang w:eastAsia="zh-CN"/>
        </w:rPr>
        <w:t>采用</w:t>
      </w:r>
      <w:r>
        <w:rPr>
          <w:rFonts w:hint="default" w:ascii="Times New Roman" w:hAnsi="Times New Roman" w:cs="Times New Roman"/>
          <w:sz w:val="28"/>
          <w:szCs w:val="28"/>
          <w:lang w:val="en-US" w:eastAsia="zh-CN"/>
        </w:rPr>
        <w:t>Pearson</w:t>
      </w:r>
      <w:r>
        <w:rPr>
          <w:rFonts w:hint="eastAsia"/>
          <w:sz w:val="28"/>
          <w:szCs w:val="28"/>
          <w:lang w:eastAsia="zh-CN"/>
        </w:rPr>
        <w:t>相关性检验分析两组变量间的相关性；采用受试者工作特征曲线（</w:t>
      </w:r>
      <w:r>
        <w:rPr>
          <w:rFonts w:hint="default" w:ascii="Times New Roman" w:hAnsi="Times New Roman" w:cs="Times New Roman"/>
          <w:bCs/>
          <w:color w:val="000000"/>
          <w:sz w:val="28"/>
          <w:szCs w:val="28"/>
        </w:rPr>
        <w:t>receiver operating characteristic curve，ROC</w:t>
      </w:r>
      <w:r>
        <w:rPr>
          <w:rFonts w:hint="eastAsia"/>
          <w:sz w:val="28"/>
          <w:szCs w:val="28"/>
          <w:lang w:eastAsia="zh-CN"/>
        </w:rPr>
        <w:t>）分析</w:t>
      </w:r>
      <w:r>
        <w:rPr>
          <w:rFonts w:hint="eastAsia" w:ascii="Times New Roman" w:hAnsi="Times New Roman" w:cs="Times New Roman"/>
          <w:sz w:val="28"/>
          <w:szCs w:val="36"/>
          <w:lang w:val="en-US" w:eastAsia="zh-CN"/>
        </w:rPr>
        <w:t>APACHEⅡ变化率评估预后</w:t>
      </w:r>
      <w:r>
        <w:rPr>
          <w:rFonts w:hint="eastAsia"/>
          <w:sz w:val="28"/>
          <w:szCs w:val="28"/>
          <w:lang w:eastAsia="zh-CN"/>
        </w:rPr>
        <w:t>的意义，曲线中</w:t>
      </w:r>
      <w:r>
        <w:rPr>
          <w:rFonts w:hint="eastAsia"/>
          <w:bCs/>
          <w:color w:val="000000"/>
          <w:sz w:val="28"/>
          <w:szCs w:val="28"/>
        </w:rPr>
        <w:t>约登指数</w:t>
      </w:r>
      <w:r>
        <w:rPr>
          <w:rFonts w:hint="eastAsia"/>
          <w:bCs/>
          <w:color w:val="000000"/>
          <w:sz w:val="28"/>
          <w:szCs w:val="28"/>
          <w:lang w:eastAsia="zh-CN"/>
        </w:rPr>
        <w:t>对应点为</w:t>
      </w:r>
      <w:r>
        <w:rPr>
          <w:rFonts w:hint="eastAsia" w:ascii="Times New Roman" w:hAnsi="Times New Roman" w:cs="Times New Roman"/>
          <w:sz w:val="28"/>
          <w:szCs w:val="36"/>
          <w:lang w:val="en-US" w:eastAsia="zh-CN"/>
        </w:rPr>
        <w:t>APACHEⅡ变化率的最佳临界值。</w:t>
      </w:r>
      <w:r>
        <w:rPr>
          <w:rFonts w:ascii="Times New Roman" w:hAnsi="Times New Roman" w:cs="Times New Roman"/>
          <w:i/>
          <w:iCs/>
          <w:sz w:val="28"/>
          <w:szCs w:val="28"/>
        </w:rPr>
        <w:t>P</w:t>
      </w:r>
      <w:r>
        <w:rPr>
          <w:rFonts w:hint="eastAsia" w:ascii="Times New Roman" w:hAnsi="Times New Roman" w:cs="Times New Roman"/>
          <w:sz w:val="28"/>
          <w:szCs w:val="28"/>
        </w:rPr>
        <w:t>＜0.05差异具有统计学意义。</w:t>
      </w:r>
    </w:p>
    <w:p>
      <w:pPr>
        <w:numPr>
          <w:ilvl w:val="0"/>
          <w:numId w:val="1"/>
        </w:numPr>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结果</w:t>
      </w:r>
    </w:p>
    <w:p>
      <w:pPr>
        <w:numPr>
          <w:ilvl w:val="0"/>
          <w:numId w:val="0"/>
        </w:numPr>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2.1 两组患者APACHE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评分和APACHE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评分变化率情况</w:t>
      </w:r>
    </w:p>
    <w:p>
      <w:pPr>
        <w:numPr>
          <w:ilvl w:val="0"/>
          <w:numId w:val="0"/>
        </w:numPr>
        <w:ind w:firstLine="560"/>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死亡组患者APACHEⅡ1、APACHEⅡ2高于生存组，而APACHEⅡ变化率低于生存组，差异显著，具有统计学意义（P＜0.05）。见表1.</w:t>
      </w:r>
    </w:p>
    <w:p>
      <w:pPr>
        <w:numPr>
          <w:ilvl w:val="0"/>
          <w:numId w:val="0"/>
        </w:numPr>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表1.两组患者</w:t>
      </w:r>
      <w:r>
        <w:rPr>
          <w:rFonts w:hint="eastAsia" w:ascii="Times New Roman" w:hAnsi="Times New Roman" w:cs="Times New Roman"/>
          <w:sz w:val="28"/>
          <w:szCs w:val="28"/>
          <w:lang w:val="en-US" w:eastAsia="zh-CN"/>
        </w:rPr>
        <w:t>APACHE评分以及变化率</w:t>
      </w:r>
    </w:p>
    <w:tbl>
      <w:tblPr>
        <w:tblStyle w:val="7"/>
        <w:tblW w:w="8522"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704" w:type="dxa"/>
            <w:tcBorders>
              <w:bottom w:val="single" w:color="auto" w:sz="4" w:space="0"/>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组别</w:t>
            </w:r>
          </w:p>
        </w:tc>
        <w:tc>
          <w:tcPr>
            <w:tcW w:w="1704" w:type="dxa"/>
            <w:tcBorders>
              <w:bottom w:val="single" w:color="auto" w:sz="4" w:space="0"/>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i/>
                <w:iCs/>
                <w:sz w:val="28"/>
                <w:szCs w:val="36"/>
                <w:vertAlign w:val="baseline"/>
                <w:lang w:val="en-US" w:eastAsia="zh-CN"/>
              </w:rPr>
              <w:t>n</w:t>
            </w:r>
          </w:p>
        </w:tc>
        <w:tc>
          <w:tcPr>
            <w:tcW w:w="1704" w:type="dxa"/>
            <w:tcBorders>
              <w:bottom w:val="single" w:color="auto" w:sz="4" w:space="0"/>
            </w:tcBorders>
            <w:textDirection w:val="lrTb"/>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lang w:val="en-US" w:eastAsia="zh-CN"/>
              </w:rPr>
              <w:t>APACHEⅡ1（分）</w:t>
            </w:r>
          </w:p>
        </w:tc>
        <w:tc>
          <w:tcPr>
            <w:tcW w:w="1705" w:type="dxa"/>
            <w:tcBorders>
              <w:bottom w:val="single" w:color="auto" w:sz="4" w:space="0"/>
            </w:tcBorders>
            <w:textDirection w:val="lrTb"/>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lang w:val="en-US" w:eastAsia="zh-CN"/>
              </w:rPr>
              <w:t>APACHEⅡ2（分）</w:t>
            </w:r>
          </w:p>
        </w:tc>
        <w:tc>
          <w:tcPr>
            <w:tcW w:w="1705" w:type="dxa"/>
            <w:tcBorders>
              <w:bottom w:val="single" w:color="auto" w:sz="4" w:space="0"/>
            </w:tcBorders>
            <w:textDirection w:val="lrTb"/>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28"/>
                <w:lang w:val="en-US" w:eastAsia="zh-CN"/>
              </w:rPr>
              <w:t>APACHE评分变化率（%）</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704" w:type="dxa"/>
            <w:tcBorders>
              <w:top w:val="single" w:color="auto" w:sz="4" w:space="0"/>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死亡组</w:t>
            </w:r>
          </w:p>
        </w:tc>
        <w:tc>
          <w:tcPr>
            <w:tcW w:w="1704" w:type="dxa"/>
            <w:tcBorders>
              <w:top w:val="single" w:color="auto" w:sz="4" w:space="0"/>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28</w:t>
            </w:r>
          </w:p>
        </w:tc>
        <w:tc>
          <w:tcPr>
            <w:tcW w:w="1704" w:type="dxa"/>
            <w:tcBorders>
              <w:top w:val="single" w:color="auto" w:sz="4" w:space="0"/>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22.95±4.82</w:t>
            </w:r>
          </w:p>
        </w:tc>
        <w:tc>
          <w:tcPr>
            <w:tcW w:w="1705" w:type="dxa"/>
            <w:tcBorders>
              <w:top w:val="single" w:color="auto" w:sz="4" w:space="0"/>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18.05±4.33</w:t>
            </w:r>
          </w:p>
        </w:tc>
        <w:tc>
          <w:tcPr>
            <w:tcW w:w="1705" w:type="dxa"/>
            <w:tcBorders>
              <w:top w:val="single" w:color="auto" w:sz="4" w:space="0"/>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0.21±0.08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生存组</w:t>
            </w: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66</w:t>
            </w: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16.43±3.21</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9.92±2.58</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0.39±0.05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t值</w:t>
            </w: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14.098</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11.284</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-13.220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P值</w:t>
            </w: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p>
        </w:tc>
        <w:tc>
          <w:tcPr>
            <w:tcW w:w="1704"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0.001</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0.016</w:t>
            </w:r>
          </w:p>
        </w:tc>
        <w:tc>
          <w:tcPr>
            <w:tcW w:w="1705" w:type="dxa"/>
            <w:tcBorders>
              <w:tl2br w:val="nil"/>
              <w:tr2bl w:val="nil"/>
            </w:tcBorders>
            <w:vAlign w:val="center"/>
          </w:tcPr>
          <w:p>
            <w:pPr>
              <w:jc w:val="center"/>
              <w:rPr>
                <w:rFonts w:hint="eastAsia"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0.000</w:t>
            </w:r>
          </w:p>
        </w:tc>
      </w:tr>
    </w:tbl>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36"/>
          <w:lang w:val="en-US" w:eastAsia="zh-CN"/>
        </w:rPr>
        <w:t xml:space="preserve">2.2  </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评分变化率以及与预后的相关性</w:t>
      </w:r>
    </w:p>
    <w:p>
      <w:pPr>
        <w:ind w:firstLine="544"/>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36"/>
          <w:lang w:val="en-US" w:eastAsia="zh-CN"/>
        </w:rPr>
        <w:t>APACHEⅡ1与</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评分变化率呈正相关性（r=0.728，P=0.015），而</w:t>
      </w:r>
      <w:r>
        <w:rPr>
          <w:rFonts w:hint="eastAsia" w:ascii="Times New Roman" w:hAnsi="Times New Roman" w:cs="Times New Roman"/>
          <w:sz w:val="28"/>
          <w:szCs w:val="36"/>
          <w:lang w:val="en-US" w:eastAsia="zh-CN"/>
        </w:rPr>
        <w:t>APACHEⅡ2与</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评分变化率呈负相关性（r=-0.634，P=0.027）。</w:t>
      </w:r>
    </w:p>
    <w:p>
      <w:pPr>
        <w:ind w:firstLine="544"/>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36"/>
          <w:lang w:val="en-US" w:eastAsia="zh-CN"/>
        </w:rPr>
        <w:t>APACHEⅡ1、APACHEⅡ2与病死率之间均呈正相关性（r=0.801，P=0.000；r=0.683，P=0.039），即APACHEⅡ1、APACHEⅡ2得分越高的患者死亡风险相对较高。</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评分变化率与</w:t>
      </w:r>
      <w:r>
        <w:rPr>
          <w:rFonts w:hint="eastAsia" w:ascii="Times New Roman" w:hAnsi="Times New Roman" w:cs="Times New Roman"/>
          <w:sz w:val="28"/>
          <w:szCs w:val="36"/>
          <w:lang w:val="en-US" w:eastAsia="zh-CN"/>
        </w:rPr>
        <w:t>病死率之间呈负相关性（r=-0.741，P=0.025），</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评分变化率较高的患者死亡风险相对较低。</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2.3 ROC曲线分析结果</w:t>
      </w:r>
    </w:p>
    <w:p>
      <w:pPr>
        <w:ind w:firstLine="544"/>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APACHEⅡ1、APACHEⅡ变化率和病死率之间的相关性强（</w:t>
      </w:r>
      <w:r>
        <w:rPr>
          <w:rFonts w:hint="eastAsia" w:ascii="Times New Roman" w:hAnsi="Times New Roman" w:cs="Times New Roman"/>
          <w:i/>
          <w:iCs/>
          <w:sz w:val="28"/>
          <w:szCs w:val="36"/>
          <w:lang w:val="en-US" w:eastAsia="zh-CN"/>
        </w:rPr>
        <w:t>r</w:t>
      </w:r>
      <w:r>
        <w:rPr>
          <w:rFonts w:hint="eastAsia" w:ascii="Times New Roman" w:hAnsi="Times New Roman" w:cs="Times New Roman"/>
          <w:sz w:val="28"/>
          <w:szCs w:val="36"/>
          <w:lang w:val="en-US" w:eastAsia="zh-CN"/>
        </w:rPr>
        <w:t>绝对值高），故将APACHEⅡ1和APACHEⅡ变化率纳入ROC曲线分析。由于APACHEⅡ1和病死率呈正相关性，而APACHEⅡ变化率和病死率呈负相关性，在同一ROC曲线上，APACHEⅡ变化率的实际AUC=1-图中AUC（见图1.）。结果显示，APACHEⅡ变化率的曲线下面积（area under cuver，AUC）为0.880，95%CI（0.802-0.0.959），高于APACHEⅡ1的AUC 0.775，95%CI（0.666-0.883），差异显著，具有统计学意义（P＜0.05）。</w:t>
      </w:r>
      <w:bookmarkStart w:id="0" w:name="OLE_LINK1"/>
      <w:r>
        <w:rPr>
          <w:rFonts w:hint="eastAsia" w:ascii="Times New Roman" w:hAnsi="Times New Roman" w:cs="Times New Roman"/>
          <w:sz w:val="28"/>
          <w:szCs w:val="36"/>
          <w:lang w:val="en-US" w:eastAsia="zh-CN"/>
        </w:rPr>
        <w:t>APACHEⅡ</w:t>
      </w:r>
      <w:bookmarkEnd w:id="0"/>
      <w:r>
        <w:rPr>
          <w:rFonts w:hint="eastAsia" w:ascii="Times New Roman" w:hAnsi="Times New Roman" w:cs="Times New Roman"/>
          <w:sz w:val="28"/>
          <w:szCs w:val="36"/>
          <w:lang w:val="en-US" w:eastAsia="zh-CN"/>
        </w:rPr>
        <w:t>变化率的临界值为0.21，此时最佳敏感性和特异性分别为60.7%和95.5%。</w:t>
      </w:r>
    </w:p>
    <w:p>
      <w:pPr>
        <w:ind w:firstLine="544"/>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drawing>
          <wp:inline distT="0" distB="0" distL="114300" distR="114300">
            <wp:extent cx="3479800" cy="2468880"/>
            <wp:effectExtent l="0" t="0" r="6350" b="7620"/>
            <wp:docPr id="1" name="图片 1" descr="QQ截图2016110921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161109215540"/>
                    <pic:cNvPicPr>
                      <a:picLocks noChangeAspect="1"/>
                    </pic:cNvPicPr>
                  </pic:nvPicPr>
                  <pic:blipFill>
                    <a:blip r:embed="rId10"/>
                    <a:stretch>
                      <a:fillRect/>
                    </a:stretch>
                  </pic:blipFill>
                  <pic:spPr>
                    <a:xfrm>
                      <a:off x="0" y="0"/>
                      <a:ext cx="3479800" cy="2468880"/>
                    </a:xfrm>
                    <a:prstGeom prst="rect">
                      <a:avLst/>
                    </a:prstGeom>
                  </pic:spPr>
                </pic:pic>
              </a:graphicData>
            </a:graphic>
          </wp:inline>
        </w:drawing>
      </w:r>
    </w:p>
    <w:p>
      <w:pPr>
        <w:ind w:firstLine="544"/>
        <w:jc w:val="center"/>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图1. APACHEⅡ1、APACHEⅡ变化率的ROC曲线</w:t>
      </w:r>
    </w:p>
    <w:p>
      <w:pPr>
        <w:numPr>
          <w:ilvl w:val="0"/>
          <w:numId w:val="1"/>
        </w:numPr>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讨论</w:t>
      </w:r>
    </w:p>
    <w:p>
      <w:pPr>
        <w:numPr>
          <w:ilvl w:val="0"/>
          <w:numId w:val="0"/>
        </w:num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ICU是收治危急重症患者的特殊科室，患者具有病种复杂、病情变化急骤、死亡率高等特点，单纯依靠检验学指标和医护人员的经验判断尚无法满足对患者病情准确评估的需求。APACHEⅡ评分系统是在传统APACHE系统基础上的改良，综合了急性生理学评分、年龄以及慢性健康状况三大项，具有更强的科学性和可行性。</w:t>
      </w:r>
    </w:p>
    <w:p>
      <w:pPr>
        <w:numPr>
          <w:ilvl w:val="0"/>
          <w:numId w:val="0"/>
        </w:num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APACHEⅡ评分系统自问世以来，在临床上得到广泛的推广和应用，适用于多种危重疾病的严重程度评估，帮助分析总体预后和死亡风险，指导临床治疗决策。例如，刘慧等</w:t>
      </w:r>
      <w:r>
        <w:rPr>
          <w:rFonts w:hint="eastAsia" w:ascii="Times New Roman" w:hAnsi="Times New Roman" w:cs="Times New Roman"/>
          <w:sz w:val="28"/>
          <w:szCs w:val="36"/>
          <w:vertAlign w:val="superscript"/>
          <w:lang w:val="en-US" w:eastAsia="zh-CN"/>
        </w:rPr>
        <w:t>[3]</w:t>
      </w:r>
      <w:r>
        <w:rPr>
          <w:rFonts w:hint="eastAsia" w:ascii="Times New Roman" w:hAnsi="Times New Roman" w:cs="Times New Roman"/>
          <w:sz w:val="28"/>
          <w:szCs w:val="36"/>
          <w:lang w:val="en-US" w:eastAsia="zh-CN"/>
        </w:rPr>
        <w:t>研究发现，APACHEⅡ分值与病死率之间呈显著正相关性，APACHEⅡ分段分值越高，实际病死率和预测病死率亦逐步升高，APACHEⅡ＞25分是患者病情危重、高死亡风险的标志。Cho等</w:t>
      </w:r>
      <w:r>
        <w:rPr>
          <w:rFonts w:hint="eastAsia" w:ascii="Times New Roman" w:hAnsi="Times New Roman" w:cs="Times New Roman"/>
          <w:sz w:val="28"/>
          <w:szCs w:val="36"/>
          <w:vertAlign w:val="superscript"/>
          <w:lang w:val="en-US" w:eastAsia="zh-CN"/>
        </w:rPr>
        <w:t>[4]</w:t>
      </w:r>
      <w:r>
        <w:rPr>
          <w:rFonts w:hint="eastAsia" w:ascii="Times New Roman" w:hAnsi="Times New Roman" w:cs="Times New Roman"/>
          <w:sz w:val="28"/>
          <w:szCs w:val="36"/>
          <w:lang w:val="en-US" w:eastAsia="zh-CN"/>
        </w:rPr>
        <w:t>对161例急性胰腺炎（AP）患者分别进行APACHEⅡ、Ranson、BIASP和CTSI四种评分系统测评，ROC分析结果显示APACHEⅡ评分系统预测SAP的AUC为0.74，高于其他指标，并指出</w:t>
      </w:r>
      <w:bookmarkStart w:id="1" w:name="OLE_LINK2"/>
      <w:r>
        <w:rPr>
          <w:rFonts w:hint="eastAsia" w:ascii="Times New Roman" w:hAnsi="Times New Roman" w:cs="Times New Roman"/>
          <w:sz w:val="28"/>
          <w:szCs w:val="36"/>
          <w:lang w:val="en-US" w:eastAsia="zh-CN"/>
        </w:rPr>
        <w:t>APACHEⅡ评分</w:t>
      </w:r>
      <w:bookmarkEnd w:id="1"/>
      <w:r>
        <w:rPr>
          <w:rFonts w:hint="eastAsia" w:ascii="Times New Roman" w:hAnsi="Times New Roman" w:cs="Times New Roman"/>
          <w:sz w:val="28"/>
          <w:szCs w:val="36"/>
          <w:lang w:val="en-US" w:eastAsia="zh-CN"/>
        </w:rPr>
        <w:t>系统是预测SAP准确性最高的指标。</w:t>
      </w:r>
    </w:p>
    <w:p>
      <w:pPr>
        <w:numPr>
          <w:ilvl w:val="0"/>
          <w:numId w:val="0"/>
        </w:numPr>
        <w:ind w:firstLine="560"/>
        <w:jc w:val="both"/>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APACHEⅡ评分被广泛应用于ICU危重患者的严重程度评估和预后观察，但是，APACHEⅡ评分在临床应用中仍存在一定局限，它考察的指标为多数为静态指标，即测评的内容为入院时患者的病情严重程度，没有考虑到治疗干预对疾病转归的影响。Bian等</w:t>
      </w:r>
      <w:r>
        <w:rPr>
          <w:rFonts w:hint="eastAsia" w:ascii="Times New Roman" w:hAnsi="Times New Roman" w:cs="Times New Roman"/>
          <w:sz w:val="28"/>
          <w:szCs w:val="36"/>
          <w:vertAlign w:val="superscript"/>
          <w:lang w:val="en-US" w:eastAsia="zh-CN"/>
        </w:rPr>
        <w:t>[5]</w:t>
      </w:r>
      <w:r>
        <w:rPr>
          <w:rFonts w:hint="eastAsia" w:ascii="Times New Roman" w:hAnsi="Times New Roman" w:cs="Times New Roman"/>
          <w:sz w:val="28"/>
          <w:szCs w:val="36"/>
          <w:lang w:val="en-US" w:eastAsia="zh-CN"/>
        </w:rPr>
        <w:t>对神经内科ICU患者行APACHEⅡ评分，发现APACHEⅡ评分与病死率相关，同时还指出通过治疗后APACHEⅡ评分显著降低患者的预后较降低不明显的患者更好。Lehman等</w:t>
      </w:r>
      <w:r>
        <w:rPr>
          <w:rFonts w:hint="eastAsia" w:ascii="Times New Roman" w:hAnsi="Times New Roman" w:cs="Times New Roman"/>
          <w:sz w:val="28"/>
          <w:szCs w:val="36"/>
          <w:vertAlign w:val="superscript"/>
          <w:lang w:val="en-US" w:eastAsia="zh-CN"/>
        </w:rPr>
        <w:t>[6]</w:t>
      </w:r>
      <w:r>
        <w:rPr>
          <w:rFonts w:hint="eastAsia" w:ascii="Times New Roman" w:hAnsi="Times New Roman" w:cs="Times New Roman"/>
          <w:sz w:val="28"/>
          <w:szCs w:val="36"/>
          <w:lang w:val="en-US" w:eastAsia="zh-CN"/>
        </w:rPr>
        <w:t>也指出，动态监测APACHE评分系统变化较单独一次行APACHEⅡ评分更有助于准确评价患者的生存率/死亡率。在此基础上，有学者提出APACHEⅡ评分变化率的概念，通过（APACHEⅡ1-</w:t>
      </w:r>
      <w:bookmarkStart w:id="2" w:name="OLE_LINK3"/>
      <w:r>
        <w:rPr>
          <w:rFonts w:hint="eastAsia" w:ascii="Times New Roman" w:hAnsi="Times New Roman" w:cs="Times New Roman"/>
          <w:sz w:val="28"/>
          <w:szCs w:val="36"/>
          <w:lang w:val="en-US" w:eastAsia="zh-CN"/>
        </w:rPr>
        <w:t>APACHE</w:t>
      </w:r>
      <w:bookmarkEnd w:id="2"/>
      <w:r>
        <w:rPr>
          <w:rFonts w:hint="eastAsia" w:ascii="Times New Roman" w:hAnsi="Times New Roman" w:cs="Times New Roman"/>
          <w:sz w:val="28"/>
          <w:szCs w:val="36"/>
          <w:lang w:val="en-US" w:eastAsia="zh-CN"/>
        </w:rPr>
        <w:t>Ⅱ2）/APACHEⅡ1的计算方法，综合考虑了入院后24h、治疗干预和48h后APACHE评分结果，动态观察病情演变。有研究指出，APACHEⅡ变化率预测死亡风险的AUC高于单纯使用APACHEⅡ1，APACHEⅡ变化率能更早期、更加准确地预测预后</w:t>
      </w:r>
      <w:r>
        <w:rPr>
          <w:rFonts w:hint="eastAsia" w:ascii="Times New Roman" w:hAnsi="Times New Roman" w:cs="Times New Roman"/>
          <w:sz w:val="28"/>
          <w:szCs w:val="36"/>
          <w:vertAlign w:val="superscript"/>
          <w:lang w:val="en-US" w:eastAsia="zh-CN"/>
        </w:rPr>
        <w:t>[7]</w:t>
      </w:r>
      <w:r>
        <w:rPr>
          <w:rFonts w:hint="eastAsia" w:ascii="Times New Roman" w:hAnsi="Times New Roman" w:cs="Times New Roman"/>
          <w:sz w:val="28"/>
          <w:szCs w:val="36"/>
          <w:lang w:val="en-US" w:eastAsia="zh-CN"/>
        </w:rPr>
        <w:t>。</w:t>
      </w:r>
    </w:p>
    <w:p>
      <w:pPr>
        <w:ind w:firstLine="560"/>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36"/>
          <w:lang w:val="en-US" w:eastAsia="zh-CN"/>
        </w:rPr>
        <w:t>当前，国内外对于APACHEⅡ变化率研究的报道十分少见。本研究通过对94例危重症患者追踪随访，结果发现，死亡组患者APACHEⅡ1、APACHEⅡ2高于生存组，而APACHEⅡ变化率低于生存组，这与方卫刚</w:t>
      </w:r>
      <w:r>
        <w:rPr>
          <w:rFonts w:hint="eastAsia" w:ascii="Times New Roman" w:hAnsi="Times New Roman" w:cs="Times New Roman"/>
          <w:sz w:val="28"/>
          <w:szCs w:val="36"/>
          <w:vertAlign w:val="superscript"/>
          <w:lang w:val="en-US" w:eastAsia="zh-CN"/>
        </w:rPr>
        <w:t>[8]</w:t>
      </w:r>
      <w:r>
        <w:rPr>
          <w:rFonts w:hint="eastAsia" w:ascii="Times New Roman" w:hAnsi="Times New Roman" w:cs="Times New Roman"/>
          <w:sz w:val="28"/>
          <w:szCs w:val="36"/>
          <w:lang w:val="en-US" w:eastAsia="zh-CN"/>
        </w:rPr>
        <w:t>等人的研究结果基本一致，进一步证实了APACHE评分系统对预后有重要的预测意义。同时，APACHEⅡ变化率是综合性指标，它与APACHEⅡ1呈正相关性，与APACHEⅡ2呈负相关性。APACHEⅡ1与病死率呈正相关性，而</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评分变化率与</w:t>
      </w:r>
      <w:r>
        <w:rPr>
          <w:rFonts w:hint="eastAsia" w:ascii="Times New Roman" w:hAnsi="Times New Roman" w:cs="Times New Roman"/>
          <w:sz w:val="28"/>
          <w:szCs w:val="36"/>
          <w:lang w:val="en-US" w:eastAsia="zh-CN"/>
        </w:rPr>
        <w:t>病死率之间呈负相关性，即</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评分变化率较高的患者死亡风险相对较低。由于</w:t>
      </w:r>
      <w:r>
        <w:rPr>
          <w:rFonts w:hint="eastAsia" w:ascii="Times New Roman" w:hAnsi="Times New Roman" w:cs="Times New Roman"/>
          <w:sz w:val="28"/>
          <w:szCs w:val="36"/>
          <w:lang w:val="en-US" w:eastAsia="zh-CN"/>
        </w:rPr>
        <w:t>APACHEⅡ1和</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变化率对于预后均有一定预测价值，为比较两者的准确性差异，我们引入ROC曲线的方法进行比较，统计学上认为，AUC越大，准确性越高，AUC达到0.7~0.9时即为“较为准确”标准。本研究中，APACHE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变化率的AUC为0.880，高于</w:t>
      </w:r>
      <w:r>
        <w:rPr>
          <w:rFonts w:hint="eastAsia" w:ascii="Times New Roman" w:hAnsi="Times New Roman" w:cs="Times New Roman"/>
          <w:sz w:val="28"/>
          <w:szCs w:val="36"/>
          <w:lang w:val="en-US" w:eastAsia="zh-CN"/>
        </w:rPr>
        <w:t>APACHEⅡ1的0.775，说明</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变化率更加适合作为危重患者死亡风险预测的因子。另外，ROC曲线中约登指数对应的APACHE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变化率为0.21，在此临界值时，APACHE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变化率预测死亡风险的敏感性和特异性达</w:t>
      </w:r>
      <w:r>
        <w:rPr>
          <w:rFonts w:hint="eastAsia" w:ascii="Times New Roman" w:hAnsi="Times New Roman" w:cs="Times New Roman"/>
          <w:sz w:val="28"/>
          <w:szCs w:val="36"/>
          <w:lang w:val="en-US" w:eastAsia="zh-CN"/>
        </w:rPr>
        <w:t>60.7%和95.5%</w:t>
      </w:r>
      <w:r>
        <w:rPr>
          <w:rFonts w:hint="eastAsia" w:ascii="Times New Roman" w:hAnsi="Times New Roman" w:cs="Times New Roman"/>
          <w:sz w:val="28"/>
          <w:szCs w:val="28"/>
          <w:lang w:val="en-US" w:eastAsia="zh-CN"/>
        </w:rPr>
        <w:t>，因此，在临床上APACHE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变化率低于0.21时，更应该引起医务人员的重视，需要加强治疗和护理干预，帮助改善患者预后，降低死亡风险。</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【参考文献】</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w:t>
      </w:r>
      <w:r>
        <w:rPr>
          <w:rFonts w:hint="default" w:ascii="Times New Roman" w:hAnsi="Times New Roman" w:cs="Times New Roman"/>
          <w:sz w:val="28"/>
          <w:szCs w:val="36"/>
          <w:lang w:val="en-US" w:eastAsia="zh-CN"/>
        </w:rPr>
        <w:t>Rojek-Jarmuła A, Hombach R, Krzych ŁJ.</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"https://www.ncbi.nlm.nih.gov/pubmed/27595745"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APACHE II score predicts mortality in patients requiring prolonged ventilation in a weaning center</w:t>
      </w:r>
      <w:r>
        <w:rPr>
          <w:rFonts w:hint="eastAsia" w:ascii="Times New Roman" w:hAnsi="Times New Roman" w:cs="Times New Roman"/>
          <w:sz w:val="28"/>
          <w:szCs w:val="28"/>
          <w:lang w:val="en-US" w:eastAsia="zh-CN"/>
        </w:rPr>
        <w:t>[J]</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Anaesthesiol Intensive Ther</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2016</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48(4):215-219.</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[2]宛丰，吕衍文.APACHEⅡ评分在脑卒中患者预后评估中的应用价值研究[J].卒中与神经疾病,2010,17(4):238-239.</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[3]刘慧.APACHEⅡ评分对急诊内科危重患者的预后评估[J].中国现代医学杂志,2012,22(25):100-102.</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"https://www.ncbi.nlm.nih.gov/pubmed/?term=Cho JH[Author]&amp;cauthor=true&amp;cauthor_uid=25741146"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Cho JH</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"https://www.ncbi.nlm.nih.gov/pubmed/?term=Kim TN[Author]&amp;cauthor=true&amp;cauthor_uid=25741146"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Kim TN</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"https://www.ncbi.nlm.nih.gov/pubmed/?term=Chung HH[Author]&amp;cauthor=true&amp;cauthor_uid=25741146"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Chung HH</w:t>
      </w:r>
      <w:r>
        <w:rPr>
          <w:rFonts w:hint="default"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,et al.</w:t>
      </w:r>
      <w:r>
        <w:rPr>
          <w:rFonts w:hint="default" w:ascii="Times New Roman" w:hAnsi="Times New Roman" w:cs="Times New Roman"/>
          <w:sz w:val="28"/>
          <w:szCs w:val="28"/>
          <w:lang w:val="en-US" w:eastAsia="zh-CN"/>
        </w:rPr>
        <w:t>Comparison of scoring systems in predicting the severity of acute pancreatitis</w:t>
      </w:r>
      <w:r>
        <w:rPr>
          <w:rFonts w:hint="eastAsia" w:ascii="Times New Roman" w:hAnsi="Times New Roman" w:cs="Times New Roman"/>
          <w:sz w:val="28"/>
          <w:szCs w:val="28"/>
          <w:lang w:val="en-US" w:eastAsia="zh-CN"/>
        </w:rPr>
        <w:t>[J]</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"https://www.ncbi.nlm.nih.gov/pubmed/25741146" \o "World journal of gastroenterology."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World J Gastroenterol</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2015</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21(8):2387-94.</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[5]</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"https://www.ncbi.nlm.nih.gov/pubmed/?term=Bian Y[Author]&amp;cauthor=true&amp;cauthor_uid=25567549"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Bian Y</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"https://www.ncbi.nlm.nih.gov/pubmed/?term=Zhang P[Author]&amp;cauthor=true&amp;cauthor_uid=25567549"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Zhang P</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"https://www.ncbi.nlm.nih.gov/pubmed/?term=Xiong Y[Author]&amp;cauthor=true&amp;cauthor_uid=25567549"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Xiong Y</w:t>
      </w:r>
      <w:r>
        <w:rPr>
          <w:rFonts w:hint="default"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,et al.</w:t>
      </w:r>
      <w:r>
        <w:rPr>
          <w:rFonts w:hint="default" w:ascii="Times New Roman" w:hAnsi="Times New Roman" w:cs="Times New Roman"/>
          <w:sz w:val="28"/>
          <w:szCs w:val="28"/>
          <w:lang w:val="en-US" w:eastAsia="zh-CN"/>
        </w:rPr>
        <w:t>Application of the APACHE II score to assess the condition of patients with critical neurological diseases</w:t>
      </w:r>
      <w:r>
        <w:rPr>
          <w:rFonts w:hint="eastAsia" w:ascii="Times New Roman" w:hAnsi="Times New Roman" w:cs="Times New Roman"/>
          <w:sz w:val="28"/>
          <w:szCs w:val="28"/>
          <w:lang w:val="en-US" w:eastAsia="zh-CN"/>
        </w:rPr>
        <w:t xml:space="preserve">[J].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"https://www.ncbi.nlm.nih.gov/pubmed/25567549" \o "Acta neurologica Belgica."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Acta Neurol Belg</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2015</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115(4):651-</w:t>
      </w:r>
      <w:r>
        <w:rPr>
          <w:rFonts w:hint="eastAsia" w:ascii="Times New Roman" w:hAnsi="Times New Roman" w:cs="Times New Roman"/>
          <w:sz w:val="28"/>
          <w:szCs w:val="28"/>
          <w:lang w:val="en-US" w:eastAsia="zh-CN"/>
        </w:rPr>
        <w:t>65</w:t>
      </w:r>
      <w:r>
        <w:rPr>
          <w:rFonts w:hint="default" w:ascii="Times New Roman" w:hAnsi="Times New Roman" w:cs="Times New Roman"/>
          <w:sz w:val="28"/>
          <w:szCs w:val="28"/>
          <w:lang w:val="en-US" w:eastAsia="zh-CN"/>
        </w:rPr>
        <w:t>6.</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[6]</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"https://www.ncbi.nlm.nih.gov/pubmed/?term=Lehman LW[Author]&amp;cauthor=true&amp;cauthor_uid=25014976"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Lehman LW</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"https://www.ncbi.nlm.nih.gov/pubmed/?term=Adams RP[Author]&amp;cauthor=true&amp;cauthor_uid=25014976"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Adams RP</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"https://www.ncbi.nlm.nih.gov/pubmed/?term=Mayaud L[Author]&amp;cauthor=true&amp;cauthor_uid=25014976"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Mayaud L</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et al.</w:t>
      </w:r>
      <w:r>
        <w:rPr>
          <w:rFonts w:hint="default" w:ascii="Times New Roman" w:hAnsi="Times New Roman" w:cs="Times New Roman"/>
          <w:sz w:val="28"/>
          <w:szCs w:val="28"/>
          <w:lang w:val="en-US" w:eastAsia="zh-CN"/>
        </w:rPr>
        <w:t>A physiological time series dynamics-based approach to patient monitoring and outcome prediction</w:t>
      </w:r>
      <w:r>
        <w:rPr>
          <w:rFonts w:hint="eastAsia" w:ascii="Times New Roman" w:hAnsi="Times New Roman" w:cs="Times New Roman"/>
          <w:sz w:val="28"/>
          <w:szCs w:val="28"/>
          <w:lang w:val="en-US" w:eastAsia="zh-CN"/>
        </w:rPr>
        <w:t>[J]</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"https://www.ncbi.nlm.nih.gov/pubmed/25014976" \o "IEEE journal of biomedical and health informatics."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IEEE J Biomed Health Inform</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2015</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19(3):1068-</w:t>
      </w:r>
      <w:r>
        <w:rPr>
          <w:rFonts w:hint="eastAsia" w:ascii="Times New Roman" w:hAnsi="Times New Roman" w:cs="Times New Roman"/>
          <w:sz w:val="28"/>
          <w:szCs w:val="28"/>
          <w:lang w:val="en-US" w:eastAsia="zh-CN"/>
        </w:rPr>
        <w:t>10</w:t>
      </w:r>
      <w:r>
        <w:rPr>
          <w:rFonts w:hint="default" w:ascii="Times New Roman" w:hAnsi="Times New Roman" w:cs="Times New Roman"/>
          <w:sz w:val="28"/>
          <w:szCs w:val="28"/>
          <w:lang w:val="en-US" w:eastAsia="zh-CN"/>
        </w:rPr>
        <w:t>76.</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[7]方卫刚.ICU危重病患者预后与APACHE评分变化率的关系[J].内科急危重症杂志,2015,21(6):435-436.</w:t>
      </w:r>
    </w:p>
    <w:p>
      <w:pPr>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[8]方卫刚，张碧波.不同时段乳酸清除率与危重病患者APACHE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、APACHE</w:t>
      </w:r>
      <w:r>
        <w:rPr>
          <w:rFonts w:hint="eastAsia" w:ascii="Times New Roman" w:hAnsi="Times New Roman" w:cs="Times New Roman"/>
          <w:sz w:val="28"/>
          <w:szCs w:val="36"/>
          <w:lang w:val="en-US" w:eastAsia="zh-CN"/>
        </w:rPr>
        <w:t>Ⅱ</w:t>
      </w:r>
      <w:r>
        <w:rPr>
          <w:rFonts w:hint="eastAsia" w:ascii="Times New Roman" w:hAnsi="Times New Roman" w:cs="Times New Roman"/>
          <w:sz w:val="28"/>
          <w:szCs w:val="28"/>
          <w:lang w:val="en-US" w:eastAsia="zh-CN"/>
        </w:rPr>
        <w:t>变化率和预后相关性研究[J].岭南急诊医学杂志,2012, 17(6):404-406.</w:t>
      </w:r>
    </w:p>
    <w:p>
      <w:pPr>
        <w:ind w:firstLine="560"/>
        <w:jc w:val="both"/>
        <w:rPr>
          <w:rFonts w:hint="default" w:ascii="Times New Roman" w:hAnsi="Times New Roman" w:cs="Times New Roman"/>
          <w:sz w:val="28"/>
          <w:szCs w:val="36"/>
          <w:lang w:val="en-US" w:eastAsia="zh-CN"/>
        </w:rPr>
      </w:pPr>
    </w:p>
    <w:sectPr>
      <w:headerReference r:id="rId4" w:type="first"/>
      <w:footerReference r:id="rId6" w:type="first"/>
      <w:headerReference r:id="rId3"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libri Light">
    <w:altName w:val="Times New Roman"/>
    <w:panose1 w:val="00000000000000000000"/>
    <w:charset w:val="00"/>
    <w:family w:val="roman"/>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Baskerville Old Face">
    <w:altName w:val="Times New Roman"/>
    <w:panose1 w:val="02020602080505020303"/>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AdvTTe45e47d2">
    <w:altName w:val="Arial"/>
    <w:panose1 w:val="00000000000000000000"/>
    <w:charset w:val="00"/>
    <w:family w:val="swiss"/>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sz w:val="28"/>
        <w:szCs w:val="44"/>
        <w:lang w:val="en-US" w:eastAsia="zh-CN"/>
      </w:rPr>
    </w:pPr>
    <w:r>
      <w:rPr>
        <w:rFonts w:hint="eastAsia"/>
        <w:sz w:val="28"/>
        <w:szCs w:val="44"/>
        <w:lang w:eastAsia="zh-CN"/>
      </w:rPr>
      <w:t>第一作者：</w:t>
    </w:r>
    <w:r>
      <w:rPr>
        <w:rFonts w:hint="eastAsia"/>
        <w:sz w:val="28"/>
        <w:szCs w:val="44"/>
        <w:lang w:val="en-US" w:eastAsia="zh-CN"/>
      </w:rPr>
      <w:t xml:space="preserve"> 刘波，男，1982年8月，本科，主治医师，阜阳市第二人民医院重症监护室 地址：安徽省阜阳市颍州区临泉路450号  邮编：236000 邮箱：</w:t>
    </w:r>
    <w:r>
      <w:rPr>
        <w:rFonts w:hint="eastAsia"/>
        <w:sz w:val="28"/>
        <w:szCs w:val="44"/>
        <w:lang w:val="en-US" w:eastAsia="zh-CN"/>
      </w:rPr>
      <w:fldChar w:fldCharType="begin"/>
    </w:r>
    <w:r>
      <w:rPr>
        <w:rFonts w:hint="eastAsia"/>
        <w:sz w:val="28"/>
        <w:szCs w:val="44"/>
        <w:lang w:val="en-US" w:eastAsia="zh-CN"/>
      </w:rPr>
      <w:instrText xml:space="preserve"> HYPERLINK "mailto:liubofyey@aliyun.com" </w:instrText>
    </w:r>
    <w:r>
      <w:rPr>
        <w:rFonts w:hint="eastAsia"/>
        <w:sz w:val="28"/>
        <w:szCs w:val="44"/>
        <w:lang w:val="en-US" w:eastAsia="zh-CN"/>
      </w:rPr>
      <w:fldChar w:fldCharType="separate"/>
    </w:r>
    <w:r>
      <w:rPr>
        <w:rStyle w:val="5"/>
        <w:rFonts w:hint="eastAsia"/>
        <w:sz w:val="28"/>
        <w:szCs w:val="44"/>
        <w:lang w:val="en-US" w:eastAsia="zh-CN"/>
      </w:rPr>
      <w:t>liubofyey@aliyun.com</w:t>
    </w:r>
    <w:r>
      <w:rPr>
        <w:rFonts w:hint="eastAsia"/>
        <w:sz w:val="28"/>
        <w:szCs w:val="44"/>
        <w:lang w:val="en-US" w:eastAsia="zh-CN"/>
      </w:rPr>
      <w:fldChar w:fldCharType="end"/>
    </w:r>
    <w:r>
      <w:rPr>
        <w:rFonts w:hint="eastAsia"/>
        <w:sz w:val="28"/>
        <w:szCs w:val="44"/>
        <w:lang w:val="en-US" w:eastAsia="zh-CN"/>
      </w:rPr>
      <w:t xml:space="preserve"> 电话：</w:t>
    </w:r>
    <w:bookmarkStart w:id="3" w:name="_GoBack"/>
    <w:r>
      <w:rPr>
        <w:rFonts w:hint="eastAsia"/>
        <w:sz w:val="28"/>
        <w:szCs w:val="44"/>
        <w:lang w:val="en-US" w:eastAsia="zh-CN"/>
      </w:rPr>
      <w:t>13955880807</w:t>
    </w:r>
    <w:bookmarkEnd w:id="3"/>
  </w:p>
  <w:p>
    <w:pPr>
      <w:pStyle w:val="2"/>
      <w:rPr>
        <w:rFonts w:hint="eastAsia" w:eastAsiaTheme="minorEastAsia"/>
        <w:sz w:val="28"/>
        <w:szCs w:val="44"/>
        <w:lang w:val="en-US" w:eastAsia="zh-CN"/>
      </w:rPr>
    </w:pPr>
    <w:r>
      <w:rPr>
        <w:rFonts w:hint="eastAsia"/>
        <w:sz w:val="28"/>
        <w:szCs w:val="44"/>
        <w:lang w:val="en-US" w:eastAsia="zh-CN"/>
      </w:rPr>
      <w:t>通讯作者：单南冰，男，1976年出生，本科，副主任医师</w: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1C8F0A"/>
    <w:multiLevelType w:val="singleLevel"/>
    <w:tmpl w:val="581C8F0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A82ECA"/>
    <w:rsid w:val="01397F03"/>
    <w:rsid w:val="034650CB"/>
    <w:rsid w:val="035F13D2"/>
    <w:rsid w:val="056272B1"/>
    <w:rsid w:val="05A66919"/>
    <w:rsid w:val="06504239"/>
    <w:rsid w:val="07AE3F02"/>
    <w:rsid w:val="0A731198"/>
    <w:rsid w:val="0A7E1E11"/>
    <w:rsid w:val="0AC35C1F"/>
    <w:rsid w:val="0B676604"/>
    <w:rsid w:val="0C1B0491"/>
    <w:rsid w:val="0C6455D2"/>
    <w:rsid w:val="0C79453C"/>
    <w:rsid w:val="0D01031B"/>
    <w:rsid w:val="0F6F0CF7"/>
    <w:rsid w:val="0FB610C2"/>
    <w:rsid w:val="101A6C0A"/>
    <w:rsid w:val="106C5626"/>
    <w:rsid w:val="12826526"/>
    <w:rsid w:val="13203EBE"/>
    <w:rsid w:val="14675288"/>
    <w:rsid w:val="14801898"/>
    <w:rsid w:val="14D0152F"/>
    <w:rsid w:val="15D66AD3"/>
    <w:rsid w:val="16243ADD"/>
    <w:rsid w:val="164D5371"/>
    <w:rsid w:val="19F81C6C"/>
    <w:rsid w:val="1B0B4946"/>
    <w:rsid w:val="1B8558F7"/>
    <w:rsid w:val="1CA4439A"/>
    <w:rsid w:val="1D075512"/>
    <w:rsid w:val="207945B4"/>
    <w:rsid w:val="20C70B45"/>
    <w:rsid w:val="24407329"/>
    <w:rsid w:val="26A62387"/>
    <w:rsid w:val="27037340"/>
    <w:rsid w:val="27FA45BB"/>
    <w:rsid w:val="285E0281"/>
    <w:rsid w:val="28DD7329"/>
    <w:rsid w:val="298A29D6"/>
    <w:rsid w:val="29FD0F3B"/>
    <w:rsid w:val="2AC2792D"/>
    <w:rsid w:val="2AD93967"/>
    <w:rsid w:val="2D8830AC"/>
    <w:rsid w:val="2E4B0163"/>
    <w:rsid w:val="2F564B5D"/>
    <w:rsid w:val="2FA57BDC"/>
    <w:rsid w:val="303B6A9B"/>
    <w:rsid w:val="304C3890"/>
    <w:rsid w:val="306C66C0"/>
    <w:rsid w:val="30DE1488"/>
    <w:rsid w:val="30E808EC"/>
    <w:rsid w:val="30F53D55"/>
    <w:rsid w:val="314B6DE8"/>
    <w:rsid w:val="31AA2E17"/>
    <w:rsid w:val="321F5D11"/>
    <w:rsid w:val="328D1670"/>
    <w:rsid w:val="35473B62"/>
    <w:rsid w:val="359208BC"/>
    <w:rsid w:val="36A22826"/>
    <w:rsid w:val="36AB24EF"/>
    <w:rsid w:val="374A4D2D"/>
    <w:rsid w:val="375C5B77"/>
    <w:rsid w:val="396464BA"/>
    <w:rsid w:val="3AC57DF0"/>
    <w:rsid w:val="3B77313C"/>
    <w:rsid w:val="3C151B82"/>
    <w:rsid w:val="3F996862"/>
    <w:rsid w:val="401D2380"/>
    <w:rsid w:val="4092089B"/>
    <w:rsid w:val="423C30CE"/>
    <w:rsid w:val="42F05C04"/>
    <w:rsid w:val="432B4A48"/>
    <w:rsid w:val="446C0415"/>
    <w:rsid w:val="44A5579F"/>
    <w:rsid w:val="45A411C9"/>
    <w:rsid w:val="45A55526"/>
    <w:rsid w:val="47450DE7"/>
    <w:rsid w:val="47D40E0F"/>
    <w:rsid w:val="4A6F7CB8"/>
    <w:rsid w:val="4E687BD2"/>
    <w:rsid w:val="4F2E75A3"/>
    <w:rsid w:val="4FB70710"/>
    <w:rsid w:val="50A55B9D"/>
    <w:rsid w:val="50D80B06"/>
    <w:rsid w:val="50FB31AE"/>
    <w:rsid w:val="521F642A"/>
    <w:rsid w:val="526F0EBD"/>
    <w:rsid w:val="53626BD3"/>
    <w:rsid w:val="556665EB"/>
    <w:rsid w:val="57155641"/>
    <w:rsid w:val="579F551D"/>
    <w:rsid w:val="57E11236"/>
    <w:rsid w:val="59FD4983"/>
    <w:rsid w:val="5BA179C4"/>
    <w:rsid w:val="5CF82D71"/>
    <w:rsid w:val="5D152EF4"/>
    <w:rsid w:val="61272014"/>
    <w:rsid w:val="612B672D"/>
    <w:rsid w:val="619B2CF7"/>
    <w:rsid w:val="619E27F6"/>
    <w:rsid w:val="61FA3162"/>
    <w:rsid w:val="61FA4859"/>
    <w:rsid w:val="645857C3"/>
    <w:rsid w:val="64A033C2"/>
    <w:rsid w:val="6524619A"/>
    <w:rsid w:val="65271673"/>
    <w:rsid w:val="65986F28"/>
    <w:rsid w:val="66520CE6"/>
    <w:rsid w:val="680C7BAD"/>
    <w:rsid w:val="69193B81"/>
    <w:rsid w:val="69330801"/>
    <w:rsid w:val="6A163B1B"/>
    <w:rsid w:val="6A2660E1"/>
    <w:rsid w:val="6A847C67"/>
    <w:rsid w:val="6C2F605F"/>
    <w:rsid w:val="6C923B8E"/>
    <w:rsid w:val="6CE14DE7"/>
    <w:rsid w:val="6D325543"/>
    <w:rsid w:val="6E52508D"/>
    <w:rsid w:val="6F436B4D"/>
    <w:rsid w:val="6F6773E9"/>
    <w:rsid w:val="71B130D2"/>
    <w:rsid w:val="71C3140B"/>
    <w:rsid w:val="72FA6EE4"/>
    <w:rsid w:val="7326215E"/>
    <w:rsid w:val="740C03B1"/>
    <w:rsid w:val="75A82ECA"/>
    <w:rsid w:val="76A3563B"/>
    <w:rsid w:val="798254B0"/>
    <w:rsid w:val="7A0D25A2"/>
    <w:rsid w:val="7C732DB7"/>
    <w:rsid w:val="7CF41D63"/>
    <w:rsid w:val="7F554B67"/>
    <w:rsid w:val="7F6011C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basedOn w:val="4"/>
    <w:uiPriority w:val="0"/>
    <w:rPr>
      <w:color w:val="0000FF"/>
      <w:u w:val="single"/>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2016-11-04T09:33:00Z</dcterms:created>
  <dc:creator>fd</dc:creator>
  <cp:lastModifiedBy>fd</cp:lastModifiedBy>
  <dcterms:modified xsi:type="dcterms:W3CDTF">2016-11-18T08:40:28Z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ies>
</file>