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</w:rPr>
      </w:pPr>
      <w:bookmarkStart w:id="0" w:name="OLE_LINK2"/>
      <w:r>
        <w:rPr>
          <w:rFonts w:ascii="Times New Roman" w:cs="Times New Roman" w:hAnsiTheme="minorEastAsia"/>
          <w:b/>
          <w:bCs/>
          <w:sz w:val="24"/>
        </w:rPr>
        <w:t>尿胰岛素生长因子结合蛋白</w:t>
      </w:r>
      <w:r>
        <w:rPr>
          <w:rFonts w:ascii="Times New Roman" w:hAnsi="Times New Roman" w:cs="Times New Roman"/>
          <w:b/>
          <w:bCs/>
          <w:sz w:val="24"/>
        </w:rPr>
        <w:t>7</w:t>
      </w:r>
      <w:r>
        <w:rPr>
          <w:rFonts w:ascii="Times New Roman" w:cs="Times New Roman" w:hAnsiTheme="minorEastAsia"/>
          <w:b/>
          <w:bCs/>
          <w:sz w:val="24"/>
        </w:rPr>
        <w:t>在急性肾损伤</w:t>
      </w:r>
      <w:r>
        <w:rPr>
          <w:rFonts w:hint="eastAsia" w:ascii="Times New Roman" w:cs="Times New Roman" w:hAnsiTheme="minorEastAsia"/>
          <w:b/>
          <w:bCs/>
          <w:sz w:val="24"/>
          <w:lang w:val="en-US" w:eastAsia="zh-CN"/>
        </w:rPr>
        <w:t>早期</w:t>
      </w:r>
      <w:r>
        <w:rPr>
          <w:rFonts w:ascii="Times New Roman" w:cs="Times New Roman" w:hAnsiTheme="minorEastAsia"/>
          <w:b/>
          <w:bCs/>
          <w:sz w:val="24"/>
        </w:rPr>
        <w:t>诊断</w:t>
      </w:r>
      <w:r>
        <w:rPr>
          <w:rFonts w:hint="eastAsia" w:ascii="Times New Roman" w:cs="Times New Roman" w:hAnsiTheme="minorEastAsia"/>
          <w:b/>
          <w:bCs/>
          <w:sz w:val="24"/>
          <w:lang w:val="en-US" w:eastAsia="zh-CN"/>
        </w:rPr>
        <w:t>的</w:t>
      </w:r>
      <w:r>
        <w:rPr>
          <w:rFonts w:ascii="Times New Roman" w:cs="Times New Roman" w:hAnsiTheme="minorEastAsia"/>
          <w:b/>
          <w:bCs/>
          <w:sz w:val="24"/>
        </w:rPr>
        <w:t>意义</w:t>
      </w:r>
      <w:bookmarkEnd w:id="0"/>
    </w:p>
    <w:p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cs="Times New Roman" w:hAnsiTheme="minorEastAsia"/>
        </w:rPr>
        <w:t>赵登旺</w:t>
      </w:r>
      <w:r>
        <w:rPr>
          <w:rStyle w:val="10"/>
          <w:rFonts w:ascii="Times New Roman" w:hAnsi="Times New Roman" w:cs="Times New Roman"/>
        </w:rPr>
        <w:footnoteReference w:id="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cs="Times New Roman" w:hAnsiTheme="minorEastAsia"/>
        </w:rPr>
        <w:t>潘鑫</w:t>
      </w:r>
      <w:r>
        <w:rPr>
          <w:rFonts w:ascii="Times New Roman" w:hAnsi="Times New Roman" w:cs="Times New Roman"/>
          <w:vertAlign w:val="superscript"/>
        </w:rPr>
        <w:t>1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cs="Times New Roman" w:hAnsiTheme="minorEastAsia"/>
        </w:rPr>
        <w:t>张春江</w:t>
      </w:r>
      <w:r>
        <w:rPr>
          <w:rFonts w:ascii="Times New Roman" w:hAnsi="Times New Roman" w:cs="Times New Roman"/>
          <w:vertAlign w:val="superscript"/>
        </w:rPr>
        <w:t xml:space="preserve">2 </w:t>
      </w:r>
      <w:r>
        <w:rPr>
          <w:rFonts w:ascii="Times New Roman" w:cs="Times New Roman" w:hAnsiTheme="minorEastAsia"/>
        </w:rPr>
        <w:t>杨晓萍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cs="Times New Roman" w:hAnsiTheme="minorEastAsia"/>
          <w:vertAlign w:val="superscript"/>
        </w:rPr>
        <w:t>△</w:t>
      </w:r>
    </w:p>
    <w:p>
      <w:pPr>
        <w:spacing w:line="360" w:lineRule="auto"/>
        <w:rPr>
          <w:rFonts w:ascii="Times New Roman" w:cs="Times New Roman" w:hAnsiTheme="minorEastAsia"/>
          <w:sz w:val="24"/>
        </w:rPr>
      </w:pPr>
      <w:r>
        <w:rPr>
          <w:rFonts w:ascii="Times New Roman" w:cs="Times New Roman" w:hAnsiTheme="minorEastAsia"/>
          <w:b/>
          <w:bCs/>
          <w:sz w:val="24"/>
        </w:rPr>
        <w:t>【摘要】目的：</w:t>
      </w:r>
      <w:r>
        <w:rPr>
          <w:rFonts w:ascii="Times New Roman" w:cs="Times New Roman" w:hAnsiTheme="minorEastAsia"/>
          <w:sz w:val="24"/>
        </w:rPr>
        <w:t>探讨尿胰岛素生长因子结合蛋白</w:t>
      </w:r>
      <w:r>
        <w:rPr>
          <w:rFonts w:ascii="Times New Roman" w:hAnsi="Times New Roman" w:cs="Times New Roman"/>
          <w:sz w:val="24"/>
        </w:rPr>
        <w:t>7</w:t>
      </w:r>
      <w:r>
        <w:rPr>
          <w:rFonts w:ascii="Times New Roman" w:cs="Times New Roman" w:hAnsiTheme="minorEastAsia"/>
          <w:sz w:val="24"/>
        </w:rPr>
        <w:t>（</w:t>
      </w:r>
      <w:r>
        <w:rPr>
          <w:rFonts w:ascii="Times New Roman" w:hAnsi="Times New Roman" w:cs="Times New Roman"/>
          <w:sz w:val="24"/>
        </w:rPr>
        <w:t>insulin-like growth factor-binding protein 7</w:t>
      </w:r>
      <w:r>
        <w:rPr>
          <w:rFonts w:ascii="Times New Roman" w:cs="Times New Roman" w:hAnsiTheme="minorEastAsia"/>
          <w:sz w:val="24"/>
        </w:rPr>
        <w:t>，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）在急性肾损伤（</w:t>
      </w:r>
      <w:r>
        <w:rPr>
          <w:rFonts w:ascii="Times New Roman" w:hAnsi="Times New Roman" w:cs="Times New Roman"/>
          <w:sz w:val="24"/>
          <w:shd w:val="clear" w:color="auto" w:fill="FFFFFF"/>
        </w:rPr>
        <w:t>acute kidney injury ,AKI</w:t>
      </w:r>
      <w:r>
        <w:rPr>
          <w:rFonts w:ascii="Times New Roman" w:cs="Times New Roman" w:hAnsiTheme="minorEastAsia"/>
          <w:sz w:val="24"/>
        </w:rPr>
        <w:t>）早期临床诊断中的意义。</w:t>
      </w:r>
      <w:r>
        <w:rPr>
          <w:rFonts w:ascii="Times New Roman" w:cs="Times New Roman" w:hAnsiTheme="minorEastAsia"/>
          <w:b/>
          <w:bCs/>
          <w:sz w:val="24"/>
        </w:rPr>
        <w:t>方法：</w:t>
      </w:r>
      <w:r>
        <w:rPr>
          <w:rFonts w:ascii="Times New Roman" w:cs="Times New Roman" w:hAnsiTheme="minorEastAsia"/>
          <w:sz w:val="24"/>
        </w:rPr>
        <w:t>入选我院符合纳入标准患者</w:t>
      </w:r>
      <w:r>
        <w:rPr>
          <w:rFonts w:ascii="Times New Roman" w:hAnsi="Times New Roman" w:cs="Times New Roman"/>
          <w:sz w:val="24"/>
        </w:rPr>
        <w:t>80</w:t>
      </w:r>
      <w:r>
        <w:rPr>
          <w:rFonts w:ascii="Times New Roman" w:cs="Times New Roman" w:hAnsiTheme="minorEastAsia"/>
          <w:sz w:val="24"/>
        </w:rPr>
        <w:t>例，其中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</w:t>
      </w:r>
      <w:r>
        <w:rPr>
          <w:rFonts w:ascii="Times New Roman" w:hAnsi="Times New Roman" w:cs="Times New Roman"/>
          <w:sz w:val="24"/>
        </w:rPr>
        <w:t>50</w:t>
      </w:r>
      <w:r>
        <w:rPr>
          <w:rFonts w:ascii="Times New Roman" w:cs="Times New Roman" w:hAnsiTheme="minorEastAsia"/>
          <w:sz w:val="24"/>
        </w:rPr>
        <w:t>例，</w:t>
      </w:r>
      <w:r>
        <w:rPr>
          <w:rFonts w:hint="eastAsia" w:ascii="Times New Roman" w:cs="Times New Roman" w:hAnsiTheme="minorEastAsia"/>
          <w:sz w:val="24"/>
          <w:lang w:val="en-US" w:eastAsia="zh-CN"/>
        </w:rPr>
        <w:t>慢性肾脏病</w:t>
      </w:r>
      <w:r>
        <w:rPr>
          <w:rFonts w:hint="eastAsia" w:ascii="Times New Roman" w:hAnsi="Times New Roman" w:cs="Times New Roman"/>
          <w:sz w:val="24"/>
          <w:lang w:eastAsia="zh-CN"/>
        </w:rPr>
        <w:t>（</w:t>
      </w:r>
      <w:r>
        <w:rPr>
          <w:rFonts w:hint="eastAsia" w:ascii="Times New Roman" w:hAnsi="Times New Roman" w:cs="Times New Roman"/>
          <w:sz w:val="24"/>
          <w:lang w:val="en-US" w:eastAsia="zh-CN"/>
        </w:rPr>
        <w:t>chronic kidney diseases，</w:t>
      </w:r>
      <w:r>
        <w:rPr>
          <w:rFonts w:ascii="Times New Roman" w:hAnsi="Times New Roman" w:cs="Times New Roman"/>
          <w:sz w:val="24"/>
        </w:rPr>
        <w:t>CKD</w:t>
      </w:r>
      <w:r>
        <w:rPr>
          <w:rFonts w:hint="eastAsia" w:ascii="Times New Roman" w:hAnsi="Times New Roman" w:cs="Times New Roman"/>
          <w:sz w:val="24"/>
          <w:lang w:eastAsia="zh-CN"/>
        </w:rPr>
        <w:t>）</w:t>
      </w:r>
      <w:r>
        <w:rPr>
          <w:rFonts w:ascii="Times New Roman" w:cs="Times New Roman" w:hAnsiTheme="minorEastAsia"/>
          <w:sz w:val="24"/>
        </w:rPr>
        <w:t>对照组</w:t>
      </w:r>
      <w:r>
        <w:rPr>
          <w:rFonts w:ascii="Times New Roman" w:hAnsi="Times New Roman" w:cs="Times New Roman"/>
          <w:sz w:val="24"/>
        </w:rPr>
        <w:t>30</w:t>
      </w:r>
      <w:r>
        <w:rPr>
          <w:rFonts w:ascii="Times New Roman" w:cs="Times New Roman" w:hAnsiTheme="minorEastAsia"/>
          <w:sz w:val="24"/>
        </w:rPr>
        <w:t>例，正常对照组</w:t>
      </w:r>
      <w:r>
        <w:rPr>
          <w:rFonts w:ascii="Times New Roman" w:hAnsi="Times New Roman" w:cs="Times New Roman"/>
          <w:sz w:val="24"/>
        </w:rPr>
        <w:t>30</w:t>
      </w:r>
      <w:r>
        <w:rPr>
          <w:rFonts w:ascii="Times New Roman" w:cs="Times New Roman" w:hAnsiTheme="minorEastAsia"/>
          <w:sz w:val="24"/>
        </w:rPr>
        <w:t>例，检测并比较各组患者</w:t>
      </w:r>
      <w:r>
        <w:rPr>
          <w:rFonts w:hint="eastAsia" w:ascii="Times New Roman" w:cs="Times New Roman" w:hAnsiTheme="minorEastAsia"/>
          <w:sz w:val="24"/>
          <w:lang w:val="en-US" w:eastAsia="zh-CN"/>
        </w:rPr>
        <w:t>确诊当时或24小时内</w:t>
      </w:r>
      <w:r>
        <w:rPr>
          <w:rFonts w:ascii="Times New Roman" w:cs="Times New Roman" w:hAnsiTheme="minorEastAsia"/>
          <w:sz w:val="24"/>
        </w:rPr>
        <w:t>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、血清胱抑素</w:t>
      </w:r>
      <w:r>
        <w:rPr>
          <w:rFonts w:ascii="Times New Roman" w:hAnsi="Times New Roman" w:cs="Times New Roman"/>
          <w:sz w:val="24"/>
        </w:rPr>
        <w:t>C(sCysC</w:t>
      </w:r>
      <w:r>
        <w:rPr>
          <w:rFonts w:ascii="Times New Roman" w:cs="Times New Roman" w:hAnsiTheme="minorEastAsia"/>
          <w:sz w:val="24"/>
        </w:rPr>
        <w:t>）水平</w:t>
      </w:r>
      <w:r>
        <w:rPr>
          <w:rFonts w:hint="eastAsia" w:ascii="Times New Roman" w:cs="Times New Roman" w:hAnsiTheme="minorEastAsia"/>
          <w:sz w:val="24"/>
        </w:rPr>
        <w:t>；</w:t>
      </w:r>
      <w:r>
        <w:rPr>
          <w:rFonts w:ascii="Times New Roman" w:cs="Times New Roman" w:hAnsiTheme="minorEastAsia"/>
          <w:sz w:val="24"/>
        </w:rPr>
        <w:t>运用受试者工作特征</w:t>
      </w:r>
      <w:r>
        <w:rPr>
          <w:rFonts w:ascii="Times New Roman" w:hAnsi="Times New Roman" w:cs="Times New Roman"/>
          <w:sz w:val="24"/>
        </w:rPr>
        <w:t>(ROC)</w:t>
      </w:r>
      <w:r>
        <w:rPr>
          <w:rFonts w:ascii="Times New Roman" w:cs="Times New Roman" w:hAnsiTheme="minorEastAsia"/>
          <w:sz w:val="24"/>
        </w:rPr>
        <w:t>曲线及曲线下面积</w:t>
      </w:r>
      <w:r>
        <w:rPr>
          <w:rFonts w:ascii="Times New Roman" w:hAnsi="Times New Roman" w:cs="Times New Roman"/>
          <w:sz w:val="24"/>
        </w:rPr>
        <w:t>(AUC)</w:t>
      </w:r>
      <w:r>
        <w:rPr>
          <w:rFonts w:ascii="Times New Roman" w:cs="Times New Roman" w:hAnsiTheme="minorEastAsia"/>
          <w:sz w:val="24"/>
        </w:rPr>
        <w:t>评价</w:t>
      </w:r>
      <w:r>
        <w:rPr>
          <w:rFonts w:ascii="Times New Roman" w:hAnsi="Times New Roman" w:cs="Times New Roman"/>
          <w:sz w:val="24"/>
        </w:rPr>
        <w:t>2</w:t>
      </w:r>
      <w:r>
        <w:rPr>
          <w:rFonts w:ascii="Times New Roman" w:cs="Times New Roman" w:hAnsiTheme="minorEastAsia"/>
          <w:sz w:val="24"/>
        </w:rPr>
        <w:t>种生物标志物检测对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早期诊断</w:t>
      </w:r>
      <w:r>
        <w:rPr>
          <w:rFonts w:hint="eastAsia" w:ascii="Times New Roman" w:cs="Times New Roman" w:hAnsiTheme="minorEastAsia"/>
          <w:sz w:val="24"/>
          <w:lang w:val="en-US" w:eastAsia="zh-CN"/>
        </w:rPr>
        <w:t>的</w:t>
      </w:r>
      <w:r>
        <w:rPr>
          <w:rFonts w:ascii="Times New Roman" w:cs="Times New Roman" w:hAnsiTheme="minorEastAsia"/>
          <w:sz w:val="24"/>
        </w:rPr>
        <w:t>意义。</w:t>
      </w:r>
      <w:r>
        <w:rPr>
          <w:rFonts w:ascii="Times New Roman" w:cs="Times New Roman" w:hAnsiTheme="minorEastAsia"/>
          <w:b/>
          <w:bCs/>
          <w:sz w:val="24"/>
        </w:rPr>
        <w:t>结果：</w:t>
      </w:r>
      <w:r>
        <w:rPr>
          <w:rFonts w:ascii="Times New Roman" w:cs="Times New Roman" w:hAnsiTheme="minorEastAsia"/>
          <w:sz w:val="24"/>
        </w:rPr>
        <w:t>（</w:t>
      </w:r>
      <w:r>
        <w:rPr>
          <w:rFonts w:ascii="Times New Roman" w:hAnsi="Times New Roman" w:cs="Times New Roman"/>
          <w:sz w:val="24"/>
        </w:rPr>
        <w:t>1</w:t>
      </w:r>
      <w:r>
        <w:rPr>
          <w:rFonts w:ascii="Times New Roman" w:cs="Times New Roman" w:hAnsiTheme="minorEastAsia"/>
          <w:sz w:val="24"/>
        </w:rPr>
        <w:t>）与正常组和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组相比，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组的尿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水平显著升高（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）；随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各期进展，尿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水平逐渐升高，各期之间</w:t>
      </w:r>
      <w:r>
        <w:rPr>
          <w:rFonts w:hint="eastAsia" w:ascii="Times New Roman" w:cs="Times New Roman" w:hAnsiTheme="minorEastAsia"/>
          <w:sz w:val="24"/>
          <w:lang w:val="en-US" w:eastAsia="zh-CN"/>
        </w:rPr>
        <w:t>差异显著</w:t>
      </w:r>
      <w:r>
        <w:rPr>
          <w:rFonts w:ascii="Times New Roman" w:cs="Times New Roman" w:hAnsiTheme="minorEastAsia"/>
          <w:sz w:val="24"/>
        </w:rPr>
        <w:t>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</w:t>
      </w:r>
      <w:r>
        <w:rPr>
          <w:rFonts w:hint="eastAsia" w:ascii="Times New Roman" w:cs="Times New Roman" w:hAnsiTheme="minorEastAsia"/>
          <w:sz w:val="24"/>
        </w:rPr>
        <w:t>；</w:t>
      </w:r>
      <w:r>
        <w:rPr>
          <w:rFonts w:ascii="Times New Roman" w:cs="Times New Roman" w:hAnsiTheme="minorEastAsia"/>
          <w:sz w:val="24"/>
        </w:rPr>
        <w:t>（</w:t>
      </w:r>
      <w:r>
        <w:rPr>
          <w:rFonts w:ascii="Times New Roman" w:hAnsi="Times New Roman" w:cs="Times New Roman"/>
          <w:sz w:val="24"/>
        </w:rPr>
        <w:t>2</w:t>
      </w:r>
      <w:r>
        <w:rPr>
          <w:rFonts w:ascii="Times New Roman" w:cs="Times New Roman" w:hAnsiTheme="minorEastAsia"/>
          <w:sz w:val="24"/>
        </w:rPr>
        <w:t>）</w:t>
      </w:r>
      <w:r>
        <w:rPr>
          <w:rFonts w:hint="eastAsia" w:ascii="Times New Roman" w:cs="Times New Roman" w:hAnsiTheme="minorEastAsia"/>
          <w:sz w:val="24"/>
          <w:lang w:val="en-US" w:eastAsia="zh-CN"/>
        </w:rPr>
        <w:t>较</w:t>
      </w:r>
      <w:r>
        <w:rPr>
          <w:rFonts w:ascii="Times New Roman" w:cs="Times New Roman" w:hAnsiTheme="minorEastAsia"/>
          <w:sz w:val="24"/>
        </w:rPr>
        <w:t>正常组，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水平显著升高（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）；</w:t>
      </w:r>
      <w:r>
        <w:rPr>
          <w:rFonts w:hint="eastAsia" w:ascii="Times New Roman" w:cs="Times New Roman" w:hAnsiTheme="minorEastAsia"/>
          <w:sz w:val="24"/>
          <w:lang w:val="en-US" w:eastAsia="zh-CN"/>
        </w:rPr>
        <w:t>较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组稍升高（</w:t>
      </w:r>
      <w:r>
        <w:rPr>
          <w:rFonts w:ascii="Times New Roman" w:hAnsi="Times New Roman" w:cs="Times New Roman"/>
          <w:sz w:val="24"/>
        </w:rPr>
        <w:t>P&gt;0.05</w:t>
      </w:r>
      <w:r>
        <w:rPr>
          <w:rFonts w:ascii="Times New Roman" w:cs="Times New Roman" w:hAnsiTheme="minorEastAsia"/>
          <w:sz w:val="24"/>
        </w:rPr>
        <w:t>）；</w:t>
      </w:r>
      <w:r>
        <w:rPr>
          <w:rFonts w:ascii="Times New Roman" w:hAnsi="Times New Roman" w:cs="Times New Roman"/>
          <w:sz w:val="24"/>
        </w:rPr>
        <w:t>AKI</w:t>
      </w:r>
      <w:r>
        <w:rPr>
          <w:rFonts w:hint="eastAsia" w:ascii="Times New Roman" w:cs="Times New Roman" w:hAnsiTheme="minorEastAsia"/>
          <w:sz w:val="24"/>
          <w:lang w:val="en-US" w:eastAsia="zh-CN"/>
        </w:rPr>
        <w:t>组随疾病</w:t>
      </w:r>
      <w:r>
        <w:rPr>
          <w:rFonts w:ascii="Times New Roman" w:cs="Times New Roman" w:hAnsiTheme="minorEastAsia"/>
          <w:sz w:val="24"/>
        </w:rPr>
        <w:t>进展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水平逐渐升高，各期之间差异</w:t>
      </w:r>
      <w:r>
        <w:rPr>
          <w:rFonts w:hint="eastAsia" w:ascii="Times New Roman" w:cs="Times New Roman" w:hAnsiTheme="minorEastAsia"/>
          <w:sz w:val="24"/>
          <w:lang w:val="en-US" w:eastAsia="zh-CN"/>
        </w:rPr>
        <w:t>显著</w:t>
      </w:r>
      <w:r>
        <w:rPr>
          <w:rFonts w:ascii="Times New Roman" w:cs="Times New Roman" w:hAnsiTheme="minorEastAsia"/>
          <w:sz w:val="24"/>
        </w:rPr>
        <w:t>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</w:t>
      </w:r>
      <w:r>
        <w:rPr>
          <w:rFonts w:hint="eastAsia" w:ascii="Times New Roman" w:cs="Times New Roman" w:hAnsiTheme="minorEastAsia"/>
          <w:sz w:val="24"/>
        </w:rPr>
        <w:t>；</w:t>
      </w:r>
      <w:r>
        <w:rPr>
          <w:rFonts w:ascii="Times New Roman" w:cs="Times New Roman" w:hAnsiTheme="minorEastAsia"/>
          <w:sz w:val="24"/>
        </w:rPr>
        <w:t>（</w:t>
      </w:r>
      <w:r>
        <w:rPr>
          <w:rFonts w:ascii="Times New Roman" w:hAnsi="Times New Roman" w:cs="Times New Roman"/>
          <w:sz w:val="24"/>
        </w:rPr>
        <w:t>3</w:t>
      </w:r>
      <w:r>
        <w:rPr>
          <w:rFonts w:ascii="Times New Roman" w:cs="Times New Roman" w:hAnsiTheme="minorEastAsia"/>
          <w:sz w:val="24"/>
        </w:rPr>
        <w:t>）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患者中，尿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与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成正相关（</w:t>
      </w:r>
      <w:r>
        <w:rPr>
          <w:rFonts w:ascii="Times New Roman" w:hAnsi="Times New Roman" w:cs="Times New Roman"/>
          <w:sz w:val="24"/>
        </w:rPr>
        <w:t>r=0.782</w:t>
      </w:r>
      <w:r>
        <w:rPr>
          <w:rFonts w:ascii="Times New Roman" w:cs="Times New Roman" w:hAnsiTheme="minorEastAsia"/>
          <w:sz w:val="24"/>
        </w:rPr>
        <w:t>，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）；尿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与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SCr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成正相关（</w:t>
      </w:r>
      <w:r>
        <w:rPr>
          <w:rFonts w:ascii="Times New Roman" w:hAnsi="Times New Roman" w:cs="Times New Roman"/>
          <w:sz w:val="24"/>
        </w:rPr>
        <w:t>r=0.884</w:t>
      </w:r>
      <w:r>
        <w:rPr>
          <w:rFonts w:ascii="Times New Roman" w:cs="Times New Roman" w:hAnsiTheme="minorEastAsia"/>
          <w:sz w:val="24"/>
        </w:rPr>
        <w:t>，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</w:t>
      </w:r>
      <w:r>
        <w:rPr>
          <w:rFonts w:hint="eastAsia" w:ascii="Times New Roman" w:cs="Times New Roman" w:hAnsiTheme="minorEastAsia"/>
          <w:sz w:val="24"/>
        </w:rPr>
        <w:t>；</w:t>
      </w:r>
      <w:r>
        <w:rPr>
          <w:rFonts w:ascii="Times New Roman" w:cs="Times New Roman" w:hAnsiTheme="minorEastAsia"/>
          <w:sz w:val="24"/>
        </w:rPr>
        <w:t>（</w:t>
      </w:r>
      <w:r>
        <w:rPr>
          <w:rFonts w:ascii="Times New Roman" w:hAnsi="Times New Roman" w:cs="Times New Roman"/>
          <w:sz w:val="24"/>
        </w:rPr>
        <w:t>4</w:t>
      </w:r>
      <w:r>
        <w:rPr>
          <w:rFonts w:ascii="Times New Roman" w:cs="Times New Roman" w:hAnsiTheme="minorEastAsia"/>
          <w:sz w:val="24"/>
        </w:rPr>
        <w:t>）尿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、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诊断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</w:t>
      </w:r>
      <w:r>
        <w:rPr>
          <w:rFonts w:ascii="Times New Roman" w:hAnsi="Times New Roman" w:cs="Times New Roman"/>
          <w:sz w:val="24"/>
        </w:rPr>
        <w:t>AUC</w:t>
      </w:r>
      <w:r>
        <w:rPr>
          <w:rFonts w:ascii="Times New Roman" w:cs="Times New Roman" w:hAnsiTheme="minorEastAsia"/>
          <w:sz w:val="24"/>
        </w:rPr>
        <w:t>分别为</w:t>
      </w:r>
      <w:r>
        <w:rPr>
          <w:rFonts w:ascii="Times New Roman" w:hAnsi="Times New Roman" w:cs="Times New Roman"/>
          <w:sz w:val="24"/>
        </w:rPr>
        <w:t>0.889</w:t>
      </w:r>
      <w:r>
        <w:rPr>
          <w:rFonts w:ascii="Times New Roman" w:cs="Times New Roman" w:hAnsiTheme="minorEastAsia"/>
          <w:sz w:val="24"/>
        </w:rPr>
        <w:t>、</w:t>
      </w:r>
      <w:r>
        <w:rPr>
          <w:rFonts w:ascii="Times New Roman" w:hAnsi="Times New Roman" w:cs="Times New Roman"/>
          <w:sz w:val="24"/>
        </w:rPr>
        <w:t>0.877</w:t>
      </w:r>
      <w:r>
        <w:rPr>
          <w:rFonts w:ascii="Times New Roman" w:cs="Times New Roman" w:hAnsiTheme="minorEastAsia"/>
          <w:sz w:val="24"/>
        </w:rPr>
        <w:t>。</w:t>
      </w:r>
      <w:r>
        <w:rPr>
          <w:rFonts w:ascii="Times New Roman" w:cs="Times New Roman" w:hAnsiTheme="minorEastAsia"/>
          <w:b/>
          <w:bCs/>
          <w:sz w:val="24"/>
        </w:rPr>
        <w:t>结论：</w:t>
      </w:r>
      <w:r>
        <w:rPr>
          <w:rFonts w:ascii="Times New Roman" w:cs="Times New Roman" w:hAnsiTheme="minorEastAsia"/>
          <w:sz w:val="24"/>
        </w:rPr>
        <w:t>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在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诊断中具有良好的敏感性。</w:t>
      </w:r>
    </w:p>
    <w:p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cs="Times New Roman" w:hAnsiTheme="minorEastAsia"/>
          <w:b/>
          <w:bCs/>
          <w:sz w:val="24"/>
        </w:rPr>
        <w:t>关键词</w:t>
      </w:r>
      <w:r>
        <w:rPr>
          <w:rFonts w:ascii="Times New Roman" w:hAnsi="Times New Roman" w:cs="Times New Roman"/>
          <w:b/>
          <w:bCs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；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；早期诊断；标志物；细胞周期阻滞</w:t>
      </w:r>
    </w:p>
    <w:p>
      <w:pPr>
        <w:pStyle w:val="7"/>
        <w:keepNext w:val="0"/>
        <w:keepLines w:val="0"/>
        <w:widowControl/>
        <w:suppressLineNumbers w:val="0"/>
        <w:spacing w:before="0" w:beforeAutospacing="1" w:after="0" w:afterAutospacing="1" w:line="360" w:lineRule="auto"/>
        <w:ind w:left="0" w:right="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eastAsia="微软雅黑" w:cs="Times New Roman"/>
          <w:b/>
          <w:bCs/>
          <w:sz w:val="21"/>
          <w:szCs w:val="21"/>
        </w:rPr>
        <w:t>【Abstract】Objective</w:t>
      </w:r>
      <w:r>
        <w:rPr>
          <w:rFonts w:hint="default" w:ascii="Times New Roman" w:hAnsi="Times New Roman" w:eastAsia="微软雅黑" w:cs="Times New Roman"/>
          <w:b/>
          <w:bCs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</w:rPr>
        <w:t>To explore the significance of insulin-like growth factor-binding protein 7 (IGFBP7) in the early diagnosis of acute kidney injury (AKI).</w:t>
      </w:r>
      <w:r>
        <w:rPr>
          <w:rFonts w:hint="default" w:ascii="Times New Roman" w:hAnsi="Times New Roman" w:eastAsia="微软雅黑" w:cs="Times New Roman"/>
          <w:b/>
          <w:bCs/>
          <w:sz w:val="21"/>
          <w:szCs w:val="21"/>
          <w:shd w:val="clear" w:color="auto" w:fill="FFFFFF"/>
        </w:rPr>
        <w:t>Methods</w:t>
      </w:r>
      <w:r>
        <w:rPr>
          <w:rFonts w:hint="default" w:ascii="Times New Roman" w:hAnsi="Times New Roman" w:eastAsia="微软雅黑" w:cs="Times New Roman"/>
          <w:b/>
          <w:bCs/>
          <w:sz w:val="21"/>
          <w:szCs w:val="21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eastAsia="微软雅黑" w:cs="Times New Roman"/>
          <w:sz w:val="21"/>
          <w:szCs w:val="21"/>
          <w:shd w:val="clear" w:color="auto" w:fill="FFFFFF"/>
        </w:rPr>
        <w:t xml:space="preserve">Selected in our hospital to meet the inclusion criteria of </w:t>
      </w:r>
      <w:r>
        <w:rPr>
          <w:rFonts w:hint="default" w:ascii="Times New Roman" w:hAnsi="Times New Roman" w:eastAsia="微软雅黑" w:cs="Times New Roman"/>
          <w:sz w:val="21"/>
          <w:szCs w:val="21"/>
          <w:shd w:val="clear" w:color="auto" w:fill="FFFFFF"/>
          <w:lang w:val="en-US" w:eastAsia="zh-CN"/>
        </w:rPr>
        <w:t>80</w:t>
      </w:r>
      <w:r>
        <w:rPr>
          <w:rFonts w:hint="default" w:ascii="Times New Roman" w:hAnsi="Times New Roman" w:eastAsia="微软雅黑" w:cs="Times New Roman"/>
          <w:sz w:val="21"/>
          <w:szCs w:val="21"/>
          <w:shd w:val="clear" w:color="auto" w:fill="FFFFFF"/>
        </w:rPr>
        <w:t xml:space="preserve"> cases, of which 50 cases of AKI group, CKD control group 30 cases and normal control group 30 cases, to detect and compare the group urinary IGFBP7, serum cystatin C levels. Using the receiver operating characteristic (ROC) curve and area under the curve (AUC) to evaluate the significance of the detection of 2 biomarkers in the early diagnosis of AKI. </w:t>
      </w:r>
      <w:r>
        <w:rPr>
          <w:rFonts w:hint="default" w:ascii="Times New Roman" w:hAnsi="Times New Roman" w:eastAsia="微软雅黑" w:cs="Times New Roman"/>
          <w:b/>
          <w:bCs/>
          <w:sz w:val="21"/>
          <w:szCs w:val="21"/>
          <w:shd w:val="clear" w:color="auto" w:fill="FFFFFF"/>
        </w:rPr>
        <w:t>Results</w:t>
      </w:r>
      <w:r>
        <w:rPr>
          <w:rFonts w:hint="default" w:ascii="Times New Roman" w:hAnsi="Times New Roman" w:eastAsia="微软雅黑" w:cs="Times New Roman"/>
          <w:b/>
          <w:bCs/>
          <w:sz w:val="21"/>
          <w:szCs w:val="21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</w:rPr>
        <w:t xml:space="preserve">(1) 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C</w:t>
      </w:r>
      <w:r>
        <w:rPr>
          <w:rFonts w:hint="default" w:ascii="Times New Roman" w:hAnsi="Times New Roman" w:cs="Times New Roman"/>
          <w:sz w:val="21"/>
          <w:szCs w:val="21"/>
        </w:rPr>
        <w:t>ompared with the normal group and the CKD group, the urinary IGFBP7 levels in AKI group were significantly higher (P&lt;0.05), and the urine IGFBP7 level was gradually increased with the progression of AKI, and the difference was significant (P&lt;0.05);(2) compared with the normal group, the serum sCysC level of AKI group was significantly higher (P&lt;0.05) than that of CKD group (P&gt;0.05);AKI group serum sCysC levels increased with disease progression,and the difference was significant (P&lt;0.05);(3) There was a positive correlation between urinary IGFBP7 level and serum sCysC level in patients with AKI (r = 0.782, P &lt;0.05). The serum IGFBP7 level was positively correlated with serum SCr level (r = 0.884, P &lt;0.05);(4)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T</w:t>
      </w:r>
      <w:r>
        <w:rPr>
          <w:rFonts w:hint="default" w:ascii="Times New Roman" w:hAnsi="Times New Roman" w:cs="Times New Roman"/>
          <w:sz w:val="21"/>
          <w:szCs w:val="21"/>
        </w:rPr>
        <w:t>he levels of urinary IGFBP7, the serum sCysC level in the diagnosis of AKI AUC are 0.889, 0.877, respectively.</w:t>
      </w:r>
      <w:r>
        <w:rPr>
          <w:rFonts w:hint="default" w:ascii="Times New Roman" w:hAnsi="Times New Roman" w:cs="Times New Roman"/>
          <w:b/>
          <w:bCs/>
          <w:sz w:val="21"/>
          <w:szCs w:val="21"/>
        </w:rPr>
        <w:t>Conclusion</w:t>
      </w:r>
      <w:r>
        <w:rPr>
          <w:rFonts w:hint="default" w:ascii="Times New Roman" w:hAnsi="Times New Roman" w:eastAsia="微软雅黑" w:cs="Times New Roman"/>
          <w:b/>
          <w:bCs/>
          <w:sz w:val="21"/>
          <w:szCs w:val="21"/>
          <w:shd w:val="clear" w:color="auto" w:fill="FFFFFF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U</w:t>
      </w:r>
      <w:r>
        <w:rPr>
          <w:rFonts w:hint="default" w:ascii="Times New Roman" w:hAnsi="Times New Roman" w:cs="Times New Roman"/>
          <w:sz w:val="21"/>
          <w:szCs w:val="21"/>
        </w:rPr>
        <w:t>rinary IGFBP7 levels have good sensitivity in the diagnosis of AKI.</w:t>
      </w:r>
    </w:p>
    <w:p>
      <w:pPr>
        <w:pStyle w:val="7"/>
        <w:keepNext w:val="0"/>
        <w:keepLines w:val="0"/>
        <w:widowControl/>
        <w:suppressLineNumbers w:val="0"/>
        <w:spacing w:before="0" w:beforeAutospacing="1" w:after="0" w:afterAutospacing="1" w:line="360" w:lineRule="auto"/>
        <w:ind w:left="0"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eastAsia="微软雅黑" w:cs="Times New Roman"/>
          <w:b/>
          <w:bCs/>
          <w:sz w:val="24"/>
        </w:rPr>
        <w:t>【</w:t>
      </w:r>
      <w:r>
        <w:rPr>
          <w:rFonts w:ascii="Times New Roman" w:hAnsi="Times New Roman" w:eastAsia="微软雅黑" w:cs="Times New Roman"/>
          <w:b/>
          <w:bCs/>
          <w:sz w:val="24"/>
          <w:shd w:val="clear" w:color="auto" w:fill="FFFFFF"/>
        </w:rPr>
        <w:t>Keywords</w:t>
      </w:r>
      <w:r>
        <w:rPr>
          <w:rFonts w:ascii="Times New Roman" w:hAnsi="Times New Roman" w:eastAsia="微软雅黑" w:cs="Times New Roman"/>
          <w:b/>
          <w:bCs/>
          <w:sz w:val="24"/>
        </w:rPr>
        <w:t>】</w:t>
      </w:r>
      <w:r>
        <w:rPr>
          <w:rFonts w:ascii="Times New Roman" w:hAnsi="Times New Roman" w:eastAsia="微软雅黑" w:cs="Times New Roman"/>
          <w:sz w:val="24"/>
          <w:shd w:val="clear" w:color="auto" w:fill="FFFFFF"/>
        </w:rPr>
        <w:t xml:space="preserve"> AKI; IGFBP7; early diagnosis; markers; cell cycle arrest</w:t>
      </w:r>
    </w:p>
    <w:p>
      <w:pPr>
        <w:spacing w:line="360" w:lineRule="auto"/>
        <w:ind w:firstLine="480"/>
        <w:jc w:val="left"/>
        <w:rPr>
          <w:rFonts w:ascii="Times New Roman" w:cs="Times New Roman" w:hAnsiTheme="minorEastAsia"/>
          <w:sz w:val="24"/>
        </w:rPr>
      </w:pPr>
      <w:r>
        <w:rPr>
          <w:rFonts w:ascii="Times New Roman" w:cs="Times New Roman" w:hAnsiTheme="minorEastAsia"/>
          <w:kern w:val="0"/>
          <w:sz w:val="24"/>
        </w:rPr>
        <w:t>急性肾损伤</w:t>
      </w:r>
      <w:r>
        <w:rPr>
          <w:rFonts w:hint="eastAsia" w:ascii="Times New Roman" w:cs="Times New Roman" w:hAnsiTheme="minorEastAsia"/>
          <w:kern w:val="0"/>
          <w:sz w:val="24"/>
          <w:lang w:val="en-US" w:eastAsia="zh-CN"/>
        </w:rPr>
        <w:t>由多种病因引起，见于</w:t>
      </w:r>
      <w:r>
        <w:rPr>
          <w:rFonts w:ascii="Times New Roman" w:cs="Times New Roman" w:hAnsiTheme="minorEastAsia"/>
          <w:kern w:val="0"/>
          <w:sz w:val="24"/>
        </w:rPr>
        <w:t>临床各科室，是急、危、重</w:t>
      </w:r>
      <w:r>
        <w:rPr>
          <w:rFonts w:hint="eastAsia" w:ascii="Times New Roman" w:cs="Times New Roman" w:hAnsiTheme="minorEastAsia"/>
          <w:kern w:val="0"/>
          <w:sz w:val="24"/>
          <w:lang w:val="en-US" w:eastAsia="zh-CN"/>
        </w:rPr>
        <w:t>症</w:t>
      </w:r>
      <w:r>
        <w:rPr>
          <w:rFonts w:ascii="Times New Roman" w:cs="Times New Roman" w:hAnsiTheme="minorEastAsia"/>
          <w:kern w:val="0"/>
          <w:sz w:val="24"/>
        </w:rPr>
        <w:t>病例的常见并发症。</w:t>
      </w:r>
      <w:r>
        <w:rPr>
          <w:rFonts w:ascii="Times New Roman" w:cs="Times New Roman" w:hAnsiTheme="minorEastAsia"/>
          <w:sz w:val="24"/>
        </w:rPr>
        <w:t>目前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的诊断主要依靠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和尿量的变化，但</w:t>
      </w:r>
      <w:r>
        <w:rPr>
          <w:rFonts w:ascii="Times New Roman" w:hAnsi="Times New Roman" w:cs="Times New Roman"/>
          <w:sz w:val="24"/>
        </w:rPr>
        <w:t>Scr(semm creatinine</w:t>
      </w:r>
      <w:r>
        <w:rPr>
          <w:rFonts w:ascii="Times New Roman" w:cs="Times New Roman" w:hAnsiTheme="minorEastAsia"/>
          <w:sz w:val="24"/>
        </w:rPr>
        <w:t>，</w:t>
      </w:r>
      <w:r>
        <w:rPr>
          <w:rFonts w:ascii="Times New Roman" w:hAnsi="Times New Roman" w:cs="Times New Roman"/>
          <w:sz w:val="24"/>
        </w:rPr>
        <w:t>Scr)</w:t>
      </w:r>
      <w:r>
        <w:rPr>
          <w:rFonts w:ascii="Times New Roman" w:cs="Times New Roman" w:hAnsiTheme="minorEastAsia"/>
          <w:sz w:val="24"/>
        </w:rPr>
        <w:t>和尿量的变化反应迟缓，且受外界因素干扰。</w:t>
      </w:r>
    </w:p>
    <w:p>
      <w:pPr>
        <w:spacing w:line="360" w:lineRule="auto"/>
        <w:ind w:firstLine="48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是一个与肿瘤、糖尿病都相关的重要分子，能够抑制肿瘤的生长，促进肿瘤细胞的凋亡</w:t>
      </w:r>
      <w:r>
        <w:rPr>
          <w:rFonts w:ascii="Times New Roman" w:hAnsi="Times New Roman" w:cs="Times New Roman"/>
          <w:sz w:val="24"/>
          <w:vertAlign w:val="superscript"/>
        </w:rPr>
        <w:t>[1]</w:t>
      </w:r>
      <w:bookmarkStart w:id="1" w:name="_GoBack"/>
      <w:bookmarkEnd w:id="1"/>
      <w:r>
        <w:rPr>
          <w:rFonts w:ascii="Times New Roman" w:cs="Times New Roman" w:hAnsiTheme="minorEastAsia"/>
          <w:sz w:val="24"/>
        </w:rPr>
        <w:t>，并且参与糖代谢功能的紊乱和</w:t>
      </w:r>
      <w:r>
        <w:rPr>
          <w:rFonts w:ascii="Times New Roman" w:hAnsi="Times New Roman" w:cs="Times New Roman"/>
          <w:sz w:val="24"/>
        </w:rPr>
        <w:t>2</w:t>
      </w:r>
      <w:r>
        <w:rPr>
          <w:rFonts w:ascii="Times New Roman" w:cs="Times New Roman" w:hAnsiTheme="minorEastAsia"/>
          <w:sz w:val="24"/>
        </w:rPr>
        <w:t>型糖尿病的发生过程</w:t>
      </w:r>
      <w:r>
        <w:rPr>
          <w:rFonts w:ascii="Times New Roman" w:hAnsi="Times New Roman" w:cs="Times New Roman"/>
          <w:sz w:val="24"/>
          <w:vertAlign w:val="superscript"/>
        </w:rPr>
        <w:t>[2]</w:t>
      </w:r>
      <w:r>
        <w:rPr>
          <w:rFonts w:ascii="Times New Roman" w:cs="Times New Roman" w:hAnsiTheme="minorEastAsia"/>
          <w:sz w:val="24"/>
        </w:rPr>
        <w:t>。近期研究报道，尿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与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之间关系密切，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</w:rPr>
        <w:t>可能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</w:rPr>
        <w:t>是</w:t>
      </w:r>
      <w:r>
        <w:rPr>
          <w:rFonts w:hint="eastAsia" w:asciiTheme="minorEastAsia" w:hAnsi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</w:rPr>
        <w:t>AKI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</w:rPr>
        <w:t>的有效预测因子</w:t>
      </w:r>
      <w:r>
        <w:rPr>
          <w:rFonts w:ascii="Times New Roman" w:hAnsi="Times New Roman" w:cs="Times New Roman"/>
          <w:sz w:val="24"/>
          <w:vertAlign w:val="superscript"/>
        </w:rPr>
        <w:t>[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3-4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000000" w:themeColor="text1"/>
          <w:spacing w:val="0"/>
          <w:sz w:val="24"/>
          <w:szCs w:val="24"/>
          <w:shd w:val="clear" w:fill="FFFFFF"/>
        </w:rPr>
        <w:t>。</w:t>
      </w:r>
      <w:r>
        <w:rPr>
          <w:rFonts w:ascii="Times New Roman" w:cs="Times New Roman" w:hAnsiTheme="minorEastAsia"/>
          <w:sz w:val="24"/>
        </w:rPr>
        <w:t>本研究通过检测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患者尿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水平，探讨其在</w:t>
      </w:r>
      <w:r>
        <w:rPr>
          <w:rFonts w:ascii="Times New Roman" w:hAnsi="Times New Roman" w:cs="Times New Roman"/>
          <w:sz w:val="24"/>
          <w:shd w:val="clear" w:color="auto" w:fill="FFFFFF"/>
        </w:rPr>
        <w:t>AKI</w:t>
      </w:r>
      <w:r>
        <w:rPr>
          <w:rFonts w:ascii="Times New Roman" w:cs="Times New Roman" w:hAnsiTheme="minorEastAsia"/>
          <w:sz w:val="24"/>
        </w:rPr>
        <w:t>早期临床诊断中的价值。</w:t>
      </w:r>
    </w:p>
    <w:p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cs="Times New Roman" w:hAnsiTheme="minorEastAsia"/>
          <w:b/>
          <w:bCs/>
          <w:sz w:val="24"/>
        </w:rPr>
        <w:t>资料和方法</w:t>
      </w:r>
    </w:p>
    <w:p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1.1</w:t>
      </w:r>
      <w:r>
        <w:rPr>
          <w:rFonts w:ascii="Times New Roman" w:cs="Times New Roman" w:hAnsiTheme="minorEastAsia"/>
          <w:b/>
          <w:bCs/>
          <w:sz w:val="24"/>
        </w:rPr>
        <w:t>一般资料</w:t>
      </w:r>
      <w:r>
        <w:rPr>
          <w:rFonts w:ascii="Times New Roman" w:hAnsi="Times New Roman" w:cs="Times New Roman"/>
          <w:sz w:val="24"/>
        </w:rPr>
        <w:t xml:space="preserve"> AKI</w:t>
      </w:r>
      <w:r>
        <w:rPr>
          <w:rFonts w:ascii="Times New Roman" w:cs="Times New Roman" w:hAnsiTheme="minorEastAsia"/>
          <w:sz w:val="24"/>
        </w:rPr>
        <w:t>组：选</w:t>
      </w:r>
      <w:r>
        <w:rPr>
          <w:rFonts w:hint="eastAsia" w:ascii="Times New Roman" w:cs="Times New Roman" w:hAnsiTheme="minorEastAsia"/>
          <w:sz w:val="24"/>
          <w:lang w:val="en-US" w:eastAsia="zh-CN"/>
        </w:rPr>
        <w:t>取</w:t>
      </w:r>
      <w:r>
        <w:rPr>
          <w:rFonts w:ascii="Times New Roman" w:hAnsi="Times New Roman" w:cs="Times New Roman"/>
          <w:sz w:val="24"/>
        </w:rPr>
        <w:t>2015</w:t>
      </w:r>
      <w:r>
        <w:rPr>
          <w:rFonts w:ascii="Times New Roman" w:cs="Times New Roman" w:hAnsiTheme="minorEastAsia"/>
          <w:sz w:val="24"/>
        </w:rPr>
        <w:t>年</w:t>
      </w:r>
      <w:r>
        <w:rPr>
          <w:rFonts w:ascii="Times New Roman" w:hAnsi="Times New Roman" w:cs="Times New Roman"/>
          <w:sz w:val="24"/>
        </w:rPr>
        <w:t>12</w:t>
      </w:r>
      <w:r>
        <w:rPr>
          <w:rFonts w:ascii="Times New Roman" w:cs="Times New Roman" w:hAnsiTheme="minorEastAsia"/>
          <w:sz w:val="24"/>
        </w:rPr>
        <w:t>月</w:t>
      </w:r>
      <w:r>
        <w:rPr>
          <w:rFonts w:ascii="Times New Roman" w:hAnsi="Times New Roman" w:cs="Times New Roman"/>
          <w:sz w:val="24"/>
        </w:rPr>
        <w:t>-2016</w:t>
      </w:r>
      <w:r>
        <w:rPr>
          <w:rFonts w:ascii="Times New Roman" w:cs="Times New Roman" w:hAnsiTheme="minorEastAsia"/>
          <w:sz w:val="24"/>
        </w:rPr>
        <w:t>年</w:t>
      </w:r>
      <w:r>
        <w:rPr>
          <w:rFonts w:ascii="Times New Roman" w:hAnsi="Times New Roman" w:cs="Times New Roman"/>
          <w:sz w:val="24"/>
        </w:rPr>
        <w:t>5</w:t>
      </w:r>
      <w:r>
        <w:rPr>
          <w:rFonts w:ascii="Times New Roman" w:cs="Times New Roman" w:hAnsiTheme="minorEastAsia"/>
          <w:sz w:val="24"/>
        </w:rPr>
        <w:t>月在石河子大学医学院第一附属医院</w:t>
      </w:r>
      <w:r>
        <w:rPr>
          <w:rFonts w:hint="eastAsia" w:ascii="Times New Roman" w:cs="Times New Roman" w:hAnsiTheme="minorEastAsia"/>
          <w:sz w:val="24"/>
          <w:lang w:val="en-US" w:eastAsia="zh-CN"/>
        </w:rPr>
        <w:t>首次</w:t>
      </w:r>
      <w:r>
        <w:rPr>
          <w:rFonts w:ascii="Times New Roman" w:cs="Times New Roman" w:hAnsiTheme="minorEastAsia"/>
          <w:sz w:val="24"/>
        </w:rPr>
        <w:t>诊断为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患者共</w:t>
      </w:r>
      <w:r>
        <w:rPr>
          <w:rFonts w:ascii="Times New Roman" w:hAnsi="Times New Roman" w:cs="Times New Roman"/>
          <w:sz w:val="24"/>
        </w:rPr>
        <w:t>50</w:t>
      </w:r>
      <w:r>
        <w:rPr>
          <w:rFonts w:ascii="Times New Roman" w:cs="Times New Roman" w:hAnsiTheme="minorEastAsia"/>
          <w:sz w:val="24"/>
        </w:rPr>
        <w:t>例，其中男</w:t>
      </w:r>
      <w:r>
        <w:rPr>
          <w:rFonts w:ascii="Times New Roman" w:hAnsi="Times New Roman" w:cs="Times New Roman"/>
          <w:sz w:val="24"/>
        </w:rPr>
        <w:t>28</w:t>
      </w:r>
      <w:r>
        <w:rPr>
          <w:rFonts w:ascii="Times New Roman" w:cs="Times New Roman" w:hAnsiTheme="minorEastAsia"/>
          <w:sz w:val="24"/>
        </w:rPr>
        <w:t>例，女</w:t>
      </w:r>
      <w:r>
        <w:rPr>
          <w:rFonts w:ascii="Times New Roman" w:hAnsi="Times New Roman" w:cs="Times New Roman"/>
          <w:sz w:val="24"/>
        </w:rPr>
        <w:t>22</w:t>
      </w:r>
      <w:r>
        <w:rPr>
          <w:rFonts w:ascii="Times New Roman" w:cs="Times New Roman" w:hAnsiTheme="minorEastAsia"/>
          <w:sz w:val="24"/>
        </w:rPr>
        <w:t>例，平均年龄（</w:t>
      </w:r>
      <w:r>
        <w:rPr>
          <w:rFonts w:ascii="Times New Roman" w:hAnsi="Times New Roman" w:cs="Times New Roman"/>
          <w:sz w:val="24"/>
        </w:rPr>
        <w:t>66.7±15.4</w:t>
      </w:r>
      <w:r>
        <w:rPr>
          <w:rFonts w:ascii="Times New Roman" w:cs="Times New Roman" w:hAnsiTheme="minorEastAsia"/>
          <w:sz w:val="24"/>
        </w:rPr>
        <w:t>）岁；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组：选自同时期诊断为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患者共</w:t>
      </w:r>
      <w:r>
        <w:rPr>
          <w:rFonts w:ascii="Times New Roman" w:hAnsi="Times New Roman" w:cs="Times New Roman"/>
          <w:sz w:val="24"/>
        </w:rPr>
        <w:t>30</w:t>
      </w:r>
      <w:r>
        <w:rPr>
          <w:rFonts w:ascii="Times New Roman" w:cs="Times New Roman" w:hAnsiTheme="minorEastAsia"/>
          <w:sz w:val="24"/>
        </w:rPr>
        <w:t>例，其中男</w:t>
      </w:r>
      <w:r>
        <w:rPr>
          <w:rFonts w:ascii="Times New Roman" w:hAnsi="Times New Roman" w:cs="Times New Roman"/>
          <w:sz w:val="24"/>
        </w:rPr>
        <w:t>15</w:t>
      </w:r>
      <w:r>
        <w:rPr>
          <w:rFonts w:ascii="Times New Roman" w:cs="Times New Roman" w:hAnsiTheme="minorEastAsia"/>
          <w:sz w:val="24"/>
        </w:rPr>
        <w:t>例，女</w:t>
      </w:r>
      <w:r>
        <w:rPr>
          <w:rFonts w:ascii="Times New Roman" w:hAnsi="Times New Roman" w:cs="Times New Roman"/>
          <w:sz w:val="24"/>
        </w:rPr>
        <w:t>15</w:t>
      </w:r>
      <w:r>
        <w:rPr>
          <w:rFonts w:ascii="Times New Roman" w:cs="Times New Roman" w:hAnsiTheme="minorEastAsia"/>
          <w:sz w:val="24"/>
        </w:rPr>
        <w:t>例，平均年龄（</w:t>
      </w:r>
      <w:r>
        <w:rPr>
          <w:rFonts w:ascii="Times New Roman" w:hAnsi="Times New Roman" w:cs="Times New Roman"/>
          <w:sz w:val="24"/>
        </w:rPr>
        <w:t>61.7±11.84</w:t>
      </w:r>
      <w:r>
        <w:rPr>
          <w:rFonts w:ascii="Times New Roman" w:cs="Times New Roman" w:hAnsiTheme="minorEastAsia"/>
          <w:sz w:val="24"/>
        </w:rPr>
        <w:t>）岁；正常</w:t>
      </w:r>
      <w:r>
        <w:rPr>
          <w:rFonts w:hint="eastAsia" w:ascii="Times New Roman" w:cs="Times New Roman" w:hAnsiTheme="minorEastAsia"/>
          <w:sz w:val="24"/>
        </w:rPr>
        <w:t>对照</w:t>
      </w:r>
      <w:r>
        <w:rPr>
          <w:rFonts w:ascii="Times New Roman" w:cs="Times New Roman" w:hAnsiTheme="minorEastAsia"/>
          <w:sz w:val="24"/>
        </w:rPr>
        <w:t>组：同期体检中心健康人群</w:t>
      </w:r>
      <w:r>
        <w:rPr>
          <w:rFonts w:ascii="Times New Roman" w:hAnsi="Times New Roman" w:cs="Times New Roman"/>
          <w:sz w:val="24"/>
        </w:rPr>
        <w:t>30</w:t>
      </w:r>
      <w:r>
        <w:rPr>
          <w:rFonts w:ascii="Times New Roman" w:cs="Times New Roman" w:hAnsiTheme="minorEastAsia"/>
          <w:sz w:val="24"/>
        </w:rPr>
        <w:t>例，其中男</w:t>
      </w:r>
      <w:r>
        <w:rPr>
          <w:rFonts w:ascii="Times New Roman" w:hAnsi="Times New Roman" w:cs="Times New Roman"/>
          <w:sz w:val="24"/>
        </w:rPr>
        <w:t>18</w:t>
      </w:r>
      <w:r>
        <w:rPr>
          <w:rFonts w:ascii="Times New Roman" w:cs="Times New Roman" w:hAnsiTheme="minorEastAsia"/>
          <w:sz w:val="24"/>
        </w:rPr>
        <w:t>例，女</w:t>
      </w:r>
      <w:r>
        <w:rPr>
          <w:rFonts w:ascii="Times New Roman" w:hAnsi="Times New Roman" w:cs="Times New Roman"/>
          <w:sz w:val="24"/>
        </w:rPr>
        <w:t>12</w:t>
      </w:r>
      <w:r>
        <w:rPr>
          <w:rFonts w:ascii="Times New Roman" w:cs="Times New Roman" w:hAnsiTheme="minorEastAsia"/>
          <w:sz w:val="24"/>
        </w:rPr>
        <w:t>例，平均年龄（</w:t>
      </w:r>
      <w:r>
        <w:rPr>
          <w:rFonts w:ascii="Times New Roman" w:hAnsi="Times New Roman" w:cs="Times New Roman"/>
          <w:sz w:val="24"/>
        </w:rPr>
        <w:t>62.5±15.</w:t>
      </w:r>
      <w:r>
        <w:rPr>
          <w:rFonts w:hint="eastAsia" w:ascii="Times New Roman" w:hAnsi="Times New Roman" w:cs="Times New Roman"/>
          <w:sz w:val="24"/>
          <w:lang w:val="en-US" w:eastAsia="zh-CN"/>
        </w:rPr>
        <w:t>1</w:t>
      </w:r>
      <w:r>
        <w:rPr>
          <w:rFonts w:ascii="Times New Roman" w:cs="Times New Roman" w:hAnsiTheme="minorEastAsia"/>
          <w:sz w:val="24"/>
        </w:rPr>
        <w:t>）岁；三组性别、年龄差异无统计学意义（</w:t>
      </w:r>
      <w:r>
        <w:rPr>
          <w:rFonts w:ascii="Times New Roman" w:hAnsi="Times New Roman" w:cs="Times New Roman"/>
          <w:sz w:val="24"/>
        </w:rPr>
        <w:t>P&gt;0.05</w:t>
      </w:r>
      <w:r>
        <w:rPr>
          <w:rFonts w:ascii="Times New Roman" w:cs="Times New Roman" w:hAnsiTheme="minorEastAsia"/>
          <w:sz w:val="24"/>
        </w:rPr>
        <w:t>），具有可比性。</w:t>
      </w:r>
      <w:r>
        <w:rPr>
          <w:rFonts w:hint="eastAsia" w:ascii="Times New Roman" w:cs="Times New Roman" w:hAnsiTheme="minorEastAsia"/>
          <w:sz w:val="24"/>
          <w:lang w:val="en-US" w:eastAsia="zh-CN"/>
        </w:rPr>
        <w:t>确</w:t>
      </w:r>
      <w:r>
        <w:rPr>
          <w:rFonts w:ascii="Times New Roman" w:cs="Times New Roman" w:hAnsiTheme="minorEastAsia"/>
          <w:sz w:val="24"/>
        </w:rPr>
        <w:t>诊的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（Ⅰ</w:t>
      </w: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cs="Times New Roman" w:hAnsiTheme="minorEastAsia"/>
          <w:sz w:val="24"/>
        </w:rPr>
        <w:t>Ⅲ期）患者均符合</w:t>
      </w:r>
      <w:r>
        <w:rPr>
          <w:rFonts w:ascii="Times New Roman" w:hAnsi="Times New Roman" w:cs="Times New Roman"/>
          <w:sz w:val="24"/>
        </w:rPr>
        <w:t>2012</w:t>
      </w:r>
      <w:r>
        <w:rPr>
          <w:rFonts w:hint="eastAsia" w:ascii="Times New Roman" w:hAnsi="Times New Roman" w:cs="Times New Roman"/>
          <w:sz w:val="24"/>
        </w:rPr>
        <w:t>年</w:t>
      </w:r>
      <w:r>
        <w:rPr>
          <w:rFonts w:ascii="Times New Roman" w:hAnsi="Times New Roman" w:cs="Times New Roman"/>
          <w:sz w:val="24"/>
        </w:rPr>
        <w:t>KDIGO</w:t>
      </w:r>
      <w:r>
        <w:rPr>
          <w:rFonts w:ascii="Times New Roman" w:cs="Times New Roman" w:hAnsiTheme="minorEastAsia"/>
          <w:sz w:val="24"/>
        </w:rPr>
        <w:t>指南诊断及分期标准</w:t>
      </w:r>
      <w:r>
        <w:rPr>
          <w:rFonts w:ascii="Times New Roman" w:hAnsi="Times New Roman" w:cs="Times New Roman"/>
          <w:sz w:val="24"/>
          <w:vertAlign w:val="superscript"/>
        </w:rPr>
        <w:t>[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5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hint="eastAsia" w:ascii="Times New Roman" w:cs="Times New Roman" w:hAnsiTheme="minorEastAsia"/>
          <w:sz w:val="24"/>
          <w:lang w:eastAsia="zh-CN"/>
        </w:rPr>
        <w:t>；</w:t>
      </w:r>
      <w:r>
        <w:rPr>
          <w:rFonts w:ascii="Times New Roman" w:cs="Times New Roman" w:hAnsiTheme="minorEastAsia"/>
          <w:sz w:val="24"/>
        </w:rPr>
        <w:t>确诊的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（Ⅰ</w:t>
      </w: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cs="Times New Roman" w:hAnsiTheme="minorEastAsia"/>
          <w:sz w:val="24"/>
        </w:rPr>
        <w:t>Ⅳ期）患者均符合</w:t>
      </w:r>
      <w:r>
        <w:rPr>
          <w:rFonts w:ascii="Times New Roman" w:hAnsi="Times New Roman" w:cs="Times New Roman"/>
          <w:sz w:val="24"/>
        </w:rPr>
        <w:t>20</w:t>
      </w:r>
      <w:r>
        <w:rPr>
          <w:rFonts w:hint="eastAsia" w:ascii="Times New Roman" w:hAnsi="Times New Roman" w:cs="Times New Roman"/>
          <w:sz w:val="24"/>
          <w:lang w:val="en-US" w:eastAsia="zh-CN"/>
        </w:rPr>
        <w:t>1</w:t>
      </w:r>
      <w:r>
        <w:rPr>
          <w:rFonts w:ascii="Times New Roman" w:hAnsi="Times New Roman" w:cs="Times New Roman"/>
          <w:sz w:val="24"/>
        </w:rPr>
        <w:t>2</w:t>
      </w:r>
      <w:r>
        <w:rPr>
          <w:rFonts w:hint="eastAsia" w:ascii="Times New Roman" w:hAnsi="Times New Roman" w:cs="Times New Roman"/>
          <w:sz w:val="24"/>
        </w:rPr>
        <w:t>年</w:t>
      </w:r>
      <w:r>
        <w:rPr>
          <w:rFonts w:ascii="Times New Roman" w:hAnsi="Times New Roman" w:cs="Times New Roman"/>
          <w:sz w:val="24"/>
        </w:rPr>
        <w:t>KDIGO</w:t>
      </w:r>
      <w:r>
        <w:rPr>
          <w:rFonts w:ascii="Times New Roman" w:cs="Times New Roman" w:hAnsiTheme="minorEastAsia"/>
          <w:sz w:val="24"/>
        </w:rPr>
        <w:t>指南诊断及分期标准</w:t>
      </w:r>
      <w:r>
        <w:rPr>
          <w:rFonts w:ascii="Times New Roman" w:hAnsi="Times New Roman" w:cs="Times New Roman"/>
          <w:sz w:val="24"/>
          <w:vertAlign w:val="superscript"/>
        </w:rPr>
        <w:t>[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6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。排除标准：年龄</w:t>
      </w:r>
      <w:r>
        <w:rPr>
          <w:rFonts w:ascii="Times New Roman" w:hAnsi="Times New Roman" w:cs="Times New Roman"/>
          <w:sz w:val="24"/>
        </w:rPr>
        <w:t>&lt;14</w:t>
      </w:r>
      <w:r>
        <w:rPr>
          <w:rFonts w:ascii="Times New Roman" w:cs="Times New Roman" w:hAnsiTheme="minorEastAsia"/>
          <w:sz w:val="24"/>
        </w:rPr>
        <w:t>岁的患者、各种类型肿瘤、糖尿病患者</w:t>
      </w:r>
      <w:r>
        <w:rPr>
          <w:rFonts w:hint="eastAsia" w:ascii="Times New Roman" w:cs="Times New Roman" w:hAnsiTheme="minorEastAsia"/>
          <w:sz w:val="24"/>
          <w:lang w:eastAsia="zh-CN"/>
        </w:rPr>
        <w:t>、</w:t>
      </w:r>
      <w:r>
        <w:rPr>
          <w:rFonts w:ascii="Times New Roman" w:cs="Times New Roman" w:hAnsiTheme="minorEastAsia"/>
          <w:sz w:val="24"/>
        </w:rPr>
        <w:t>规律行血液透析或者腹膜透析的患者、无尿患者、行肾移植手术的患者、妊娠</w:t>
      </w:r>
      <w:r>
        <w:rPr>
          <w:rFonts w:ascii="Times New Roman" w:cs="Times New Roman" w:hAnsiTheme="minorEastAsia"/>
          <w:sz w:val="24"/>
          <w:shd w:val="clear" w:color="auto" w:fill="FBFCFE"/>
        </w:rPr>
        <w:t>、免疫抑制治疗患者</w:t>
      </w:r>
      <w:r>
        <w:rPr>
          <w:rFonts w:ascii="Times New Roman" w:cs="Times New Roman" w:hAnsiTheme="minorEastAsia"/>
          <w:sz w:val="24"/>
        </w:rPr>
        <w:t>。</w:t>
      </w:r>
    </w:p>
    <w:p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1.2</w:t>
      </w:r>
      <w:r>
        <w:rPr>
          <w:rFonts w:ascii="Times New Roman" w:cs="Times New Roman" w:hAnsiTheme="minorEastAsia"/>
          <w:b/>
          <w:bCs/>
          <w:sz w:val="24"/>
        </w:rPr>
        <w:t>标本采集及检测方法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cs="Times New Roman" w:hAnsiTheme="minorEastAsia"/>
          <w:sz w:val="24"/>
        </w:rPr>
        <w:t>经伦理委员会同意，所有入选者签署知情同意书，于确诊</w:t>
      </w:r>
      <w:r>
        <w:rPr>
          <w:rFonts w:hint="eastAsia" w:ascii="Times New Roman" w:cs="Times New Roman" w:hAnsiTheme="minorEastAsia"/>
          <w:sz w:val="24"/>
          <w:lang w:val="en-US" w:eastAsia="zh-CN"/>
        </w:rPr>
        <w:t>当时或24小时内</w:t>
      </w:r>
      <w:r>
        <w:rPr>
          <w:rFonts w:ascii="Times New Roman" w:cs="Times New Roman" w:hAnsiTheme="minorEastAsia"/>
          <w:sz w:val="24"/>
        </w:rPr>
        <w:t>留取空腹外周血</w:t>
      </w:r>
      <w:r>
        <w:rPr>
          <w:rFonts w:ascii="Times New Roman" w:hAnsi="Times New Roman" w:cs="Times New Roman"/>
          <w:sz w:val="24"/>
        </w:rPr>
        <w:t>4ml</w:t>
      </w:r>
      <w:r>
        <w:rPr>
          <w:rFonts w:ascii="Times New Roman" w:cs="Times New Roman" w:hAnsiTheme="minorEastAsia"/>
          <w:sz w:val="24"/>
        </w:rPr>
        <w:t>及晨尿（中段尿）</w:t>
      </w:r>
      <w:r>
        <w:rPr>
          <w:rFonts w:ascii="Times New Roman" w:hAnsi="Times New Roman" w:cs="Times New Roman"/>
          <w:sz w:val="24"/>
        </w:rPr>
        <w:t>10ml</w:t>
      </w:r>
      <w:r>
        <w:rPr>
          <w:rFonts w:ascii="Times New Roman" w:cs="Times New Roman" w:hAnsiTheme="minorEastAsia"/>
          <w:sz w:val="24"/>
        </w:rPr>
        <w:t>。①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：尿标本</w:t>
      </w:r>
      <w:r>
        <w:rPr>
          <w:rFonts w:ascii="Times New Roman" w:hAnsi="Times New Roman" w:cs="Times New Roman"/>
          <w:sz w:val="24"/>
        </w:rPr>
        <w:t>2000r/min</w:t>
      </w:r>
      <w:r>
        <w:rPr>
          <w:rFonts w:ascii="Times New Roman" w:cs="Times New Roman" w:hAnsiTheme="minorEastAsia"/>
          <w:sz w:val="24"/>
        </w:rPr>
        <w:t>离心</w:t>
      </w:r>
      <w:r>
        <w:rPr>
          <w:rFonts w:ascii="Times New Roman" w:hAnsi="Times New Roman" w:cs="Times New Roman"/>
          <w:sz w:val="24"/>
        </w:rPr>
        <w:t>15min</w:t>
      </w:r>
      <w:r>
        <w:rPr>
          <w:rFonts w:ascii="Times New Roman" w:cs="Times New Roman" w:hAnsiTheme="minorEastAsia"/>
          <w:sz w:val="24"/>
        </w:rPr>
        <w:t>，取离心后的上清液</w:t>
      </w:r>
      <w:r>
        <w:rPr>
          <w:rFonts w:ascii="Times New Roman" w:hAnsi="Times New Roman" w:cs="Times New Roman"/>
          <w:sz w:val="24"/>
        </w:rPr>
        <w:t>2ml</w:t>
      </w:r>
      <w:r>
        <w:rPr>
          <w:rFonts w:ascii="Times New Roman" w:cs="Times New Roman" w:hAnsiTheme="minorEastAsia"/>
          <w:sz w:val="24"/>
        </w:rPr>
        <w:t>置于冻存管密封编号，</w:t>
      </w:r>
      <w:r>
        <w:rPr>
          <w:rFonts w:ascii="Times New Roman" w:hAnsi="Times New Roman" w:cs="Times New Roman"/>
          <w:sz w:val="24"/>
        </w:rPr>
        <w:t>-80</w:t>
      </w:r>
      <w:r>
        <w:rPr>
          <w:rFonts w:ascii="Times New Roman" w:cs="Times New Roman" w:hAnsiTheme="minorEastAsia"/>
          <w:sz w:val="24"/>
        </w:rPr>
        <w:t>℃冰箱冷藏，避免标本反复冻融</w:t>
      </w:r>
      <w:r>
        <w:rPr>
          <w:rFonts w:hint="eastAsia" w:ascii="Times New Roman" w:cs="Times New Roman" w:hAnsiTheme="minorEastAsia"/>
          <w:sz w:val="24"/>
        </w:rPr>
        <w:t>，</w:t>
      </w:r>
      <w:r>
        <w:rPr>
          <w:rFonts w:ascii="Times New Roman" w:cs="Times New Roman" w:hAnsiTheme="minorEastAsia"/>
          <w:color w:val="000000" w:themeColor="text1"/>
          <w:sz w:val="24"/>
        </w:rPr>
        <w:t>采用</w:t>
      </w:r>
      <w:r>
        <w:rPr>
          <w:rFonts w:ascii="Times New Roman" w:hAnsi="Times New Roman" w:cs="Times New Roman"/>
          <w:color w:val="000000" w:themeColor="text1"/>
          <w:sz w:val="24"/>
        </w:rPr>
        <w:t>ELISA</w:t>
      </w:r>
      <w:r>
        <w:rPr>
          <w:rFonts w:ascii="Times New Roman" w:cs="Times New Roman" w:hAnsiTheme="minorEastAsia"/>
          <w:color w:val="000000" w:themeColor="text1"/>
          <w:sz w:val="24"/>
        </w:rPr>
        <w:t>法测定</w:t>
      </w:r>
      <w:r>
        <w:rPr>
          <w:rFonts w:hint="eastAsia" w:ascii="Times New Roman" w:cs="Times New Roman" w:hAnsiTheme="minorEastAsia"/>
          <w:color w:val="000000" w:themeColor="text1"/>
          <w:sz w:val="24"/>
          <w:lang w:eastAsia="zh-CN"/>
        </w:rPr>
        <w:t>（</w:t>
      </w:r>
      <w:r>
        <w:rPr>
          <w:rFonts w:hint="eastAsia" w:ascii="Times New Roman" w:cs="Times New Roman" w:hAnsiTheme="minorEastAsia"/>
          <w:color w:val="000000" w:themeColor="text1"/>
          <w:sz w:val="24"/>
          <w:lang w:val="en-US" w:eastAsia="zh-CN"/>
        </w:rPr>
        <w:t>试剂盒</w:t>
      </w:r>
      <w:r>
        <w:rPr>
          <w:rFonts w:ascii="Times New Roman" w:cs="Times New Roman" w:hAnsiTheme="minorEastAsia"/>
          <w:color w:val="000000" w:themeColor="text1"/>
          <w:sz w:val="24"/>
        </w:rPr>
        <w:t>由伊莱瑞特生物科技有限公司</w:t>
      </w:r>
      <w:r>
        <w:rPr>
          <w:rFonts w:hint="eastAsia" w:ascii="Times New Roman" w:cs="Times New Roman" w:hAnsiTheme="minorEastAsia"/>
          <w:color w:val="000000" w:themeColor="text1"/>
          <w:sz w:val="24"/>
          <w:lang w:val="en-US" w:eastAsia="zh-CN"/>
        </w:rPr>
        <w:t>提供），实验方法按试剂盒说明书操作</w:t>
      </w:r>
      <w:r>
        <w:rPr>
          <w:rFonts w:ascii="Times New Roman" w:cs="Times New Roman" w:hAnsiTheme="minorEastAsia"/>
          <w:color w:val="000000" w:themeColor="text1"/>
          <w:sz w:val="24"/>
        </w:rPr>
        <w:t>。</w:t>
      </w:r>
      <w:r>
        <w:rPr>
          <w:rFonts w:ascii="Times New Roman" w:cs="Times New Roman" w:hAnsiTheme="minorEastAsia"/>
          <w:sz w:val="24"/>
        </w:rPr>
        <w:t>②外周静脉血标本送检验科，血标本</w:t>
      </w:r>
      <w:r>
        <w:rPr>
          <w:rFonts w:ascii="Times New Roman" w:hAnsi="Times New Roman" w:cs="Times New Roman"/>
          <w:sz w:val="24"/>
        </w:rPr>
        <w:t>3000r/min</w:t>
      </w:r>
      <w:r>
        <w:rPr>
          <w:rFonts w:ascii="Times New Roman" w:cs="Times New Roman" w:hAnsiTheme="minorEastAsia"/>
          <w:sz w:val="24"/>
        </w:rPr>
        <w:t>离心</w:t>
      </w:r>
      <w:r>
        <w:rPr>
          <w:rFonts w:ascii="Times New Roman" w:hAnsi="Times New Roman" w:cs="Times New Roman"/>
          <w:sz w:val="24"/>
        </w:rPr>
        <w:t>5min</w:t>
      </w:r>
      <w:r>
        <w:rPr>
          <w:rFonts w:ascii="Times New Roman" w:cs="Times New Roman" w:hAnsiTheme="minorEastAsia"/>
          <w:sz w:val="24"/>
        </w:rPr>
        <w:t>后取上清液</w:t>
      </w:r>
      <w:r>
        <w:rPr>
          <w:rFonts w:ascii="Times New Roman" w:hAnsi="Times New Roman" w:cs="Times New Roman"/>
          <w:sz w:val="24"/>
        </w:rPr>
        <w:t>2ml</w:t>
      </w:r>
      <w:r>
        <w:rPr>
          <w:rFonts w:hint="eastAsia" w:ascii="Times New Roman" w:hAnsi="Times New Roman" w:cs="Times New Roman"/>
          <w:sz w:val="24"/>
        </w:rPr>
        <w:t>，</w:t>
      </w:r>
      <w:r>
        <w:rPr>
          <w:rFonts w:ascii="Times New Roman" w:cs="Times New Roman" w:hAnsiTheme="minorEastAsia"/>
          <w:sz w:val="24"/>
        </w:rPr>
        <w:t>罗氏</w:t>
      </w:r>
      <w:r>
        <w:rPr>
          <w:rFonts w:ascii="Times New Roman" w:hAnsi="Times New Roman" w:cs="Times New Roman"/>
          <w:sz w:val="24"/>
        </w:rPr>
        <w:t>Modular</w:t>
      </w:r>
      <w:r>
        <w:rPr>
          <w:rFonts w:hint="eastAsia" w:ascii="Times New Roman" w:hAnsi="Times New Roman" w:cs="Times New Roman"/>
          <w:sz w:val="24"/>
          <w:lang w:val="en-US" w:eastAsia="zh-CN"/>
        </w:rPr>
        <w:t xml:space="preserve"> </w:t>
      </w:r>
      <w:r>
        <w:rPr>
          <w:rFonts w:ascii="Times New Roman" w:hAnsi="Times New Roman" w:cs="Times New Roman"/>
          <w:sz w:val="24"/>
        </w:rPr>
        <w:t>DPP-H7600</w:t>
      </w:r>
      <w:r>
        <w:rPr>
          <w:rFonts w:ascii="Times New Roman" w:cs="Times New Roman" w:hAnsiTheme="minorEastAsia"/>
          <w:sz w:val="24"/>
        </w:rPr>
        <w:t>全自动生化分析仪检测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、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水平（胶乳增强免疫透射比浊法检测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；酶法检测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）。</w:t>
      </w:r>
    </w:p>
    <w:p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1.3</w:t>
      </w:r>
      <w:r>
        <w:rPr>
          <w:rFonts w:ascii="Times New Roman" w:cs="Times New Roman" w:hAnsiTheme="minorEastAsia"/>
          <w:b/>
          <w:bCs/>
          <w:sz w:val="24"/>
        </w:rPr>
        <w:t>统计学分析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cs="Times New Roman" w:hAnsiTheme="minorEastAsia"/>
          <w:sz w:val="24"/>
        </w:rPr>
        <w:t>用</w:t>
      </w:r>
      <w:r>
        <w:rPr>
          <w:rFonts w:ascii="Times New Roman" w:hAnsi="Times New Roman" w:cs="Times New Roman"/>
          <w:sz w:val="24"/>
        </w:rPr>
        <w:t xml:space="preserve">SPSS20.0 </w:t>
      </w:r>
      <w:r>
        <w:rPr>
          <w:rFonts w:ascii="Times New Roman" w:cs="Times New Roman" w:hAnsiTheme="minorEastAsia"/>
          <w:sz w:val="24"/>
        </w:rPr>
        <w:t>统计软件包进行数据处理。计量资料用（</w:t>
      </w:r>
      <w:r>
        <w:rPr>
          <w:rFonts w:ascii="Times New Roman" w:hAnsi="Times New Roman" w:cs="Times New Roman"/>
          <w:position w:val="-6"/>
          <w:sz w:val="24"/>
        </w:rPr>
        <w:object>
          <v:shape id="_x0000_i1025" o:spt="75" type="#_x0000_t75" style="height:22.95pt;width:34.8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5">
            <o:LockedField>false</o:LockedField>
          </o:OLEObject>
        </w:object>
      </w:r>
      <w:r>
        <w:rPr>
          <w:rFonts w:ascii="Times New Roman" w:cs="Times New Roman" w:hAnsiTheme="minorEastAsia"/>
          <w:sz w:val="24"/>
        </w:rPr>
        <w:t>）表示，组间比较用单因素方差分析，组间两两比较用</w:t>
      </w:r>
      <w:r>
        <w:rPr>
          <w:rFonts w:ascii="Times New Roman" w:hAnsi="Times New Roman" w:cs="Times New Roman"/>
          <w:sz w:val="24"/>
        </w:rPr>
        <w:t>LSD</w:t>
      </w:r>
      <w:r>
        <w:rPr>
          <w:rFonts w:ascii="Times New Roman" w:cs="Times New Roman" w:hAnsiTheme="minorEastAsia"/>
          <w:sz w:val="24"/>
        </w:rPr>
        <w:t>法；变量间的相关采用</w:t>
      </w:r>
      <w:r>
        <w:rPr>
          <w:rFonts w:ascii="Times New Roman" w:hAnsi="Times New Roman" w:cs="Times New Roman"/>
          <w:sz w:val="24"/>
        </w:rPr>
        <w:t>Pearson</w:t>
      </w:r>
      <w:r>
        <w:rPr>
          <w:rFonts w:ascii="Times New Roman" w:cs="Times New Roman" w:hAnsiTheme="minorEastAsia"/>
          <w:sz w:val="24"/>
        </w:rPr>
        <w:t>相关分析；使用受试者工作特征曲线</w:t>
      </w:r>
      <w:r>
        <w:rPr>
          <w:rFonts w:ascii="Times New Roman" w:hAnsi="Times New Roman" w:cs="Times New Roman"/>
          <w:sz w:val="24"/>
        </w:rPr>
        <w:t>(ROC)</w:t>
      </w:r>
      <w:r>
        <w:rPr>
          <w:rFonts w:ascii="Times New Roman" w:cs="Times New Roman" w:hAnsiTheme="minorEastAsia"/>
          <w:sz w:val="24"/>
        </w:rPr>
        <w:t>及曲线下面积</w:t>
      </w:r>
      <w:r>
        <w:rPr>
          <w:rFonts w:ascii="Times New Roman" w:hAnsi="Times New Roman" w:cs="Times New Roman"/>
          <w:sz w:val="24"/>
        </w:rPr>
        <w:t>(AUC)</w:t>
      </w:r>
      <w:r>
        <w:rPr>
          <w:rFonts w:ascii="Times New Roman" w:cs="Times New Roman" w:hAnsiTheme="minorEastAsia"/>
          <w:sz w:val="24"/>
        </w:rPr>
        <w:t>来评价各指标诊断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的准确性、敏感性和特异性。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为差异有统计学意义。</w:t>
      </w:r>
    </w:p>
    <w:p>
      <w:pPr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cs="Times New Roman" w:hAnsiTheme="minorEastAsia"/>
          <w:b/>
          <w:bCs/>
          <w:sz w:val="24"/>
        </w:rPr>
        <w:t>结果</w:t>
      </w:r>
    </w:p>
    <w:p>
      <w:pPr>
        <w:spacing w:line="360" w:lineRule="auto"/>
        <w:jc w:val="left"/>
        <w:rPr>
          <w:rFonts w:hint="eastAsia" w:ascii="Times New Roman" w:cs="Times New Roman" w:hAnsiTheme="minorEastAsia"/>
          <w:sz w:val="24"/>
          <w:lang w:val="en-US" w:eastAsia="zh-CN"/>
        </w:rPr>
      </w:pPr>
      <w:r>
        <w:rPr>
          <w:rFonts w:ascii="Times New Roman" w:hAnsi="Times New Roman" w:cs="Times New Roman"/>
          <w:b/>
          <w:bCs/>
          <w:sz w:val="24"/>
        </w:rPr>
        <w:t>2.1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hint="eastAsia" w:ascii="Times New Roman" w:cs="Times New Roman" w:hAnsiTheme="minorEastAsia"/>
          <w:sz w:val="24"/>
          <w:lang w:val="en-US" w:eastAsia="zh-CN"/>
        </w:rPr>
        <w:t>各组间尿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、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SCr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、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测定结果的关系</w:t>
      </w:r>
      <w:r>
        <w:rPr>
          <w:rFonts w:hint="eastAsia" w:ascii="Times New Roman" w:hAnsi="Times New Roman" w:cs="Times New Roman"/>
          <w:sz w:val="24"/>
        </w:rPr>
        <w:t>，</w:t>
      </w:r>
      <w:r>
        <w:rPr>
          <w:rFonts w:ascii="Times New Roman" w:cs="Times New Roman" w:hAnsiTheme="minorEastAsia"/>
          <w:sz w:val="24"/>
        </w:rPr>
        <w:t>见表</w:t>
      </w:r>
      <w:r>
        <w:rPr>
          <w:rFonts w:hint="eastAsia" w:ascii="Times New Roman" w:cs="Times New Roman" w:hAnsiTheme="minorEastAsia"/>
          <w:sz w:val="24"/>
          <w:lang w:val="en-US" w:eastAsia="zh-CN"/>
        </w:rPr>
        <w:t>1</w:t>
      </w:r>
      <w:r>
        <w:rPr>
          <w:rFonts w:hint="eastAsia" w:ascii="Times New Roman" w:cs="Times New Roman" w:hAnsiTheme="minorEastAsia"/>
          <w:sz w:val="24"/>
        </w:rPr>
        <w:t>，表</w:t>
      </w:r>
      <w:r>
        <w:rPr>
          <w:rFonts w:hint="eastAsia" w:ascii="Times New Roman" w:cs="Times New Roman" w:hAnsiTheme="minorEastAsia"/>
          <w:sz w:val="24"/>
          <w:lang w:val="en-US" w:eastAsia="zh-CN"/>
        </w:rPr>
        <w:t>2</w:t>
      </w:r>
    </w:p>
    <w:p>
      <w:p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hint="eastAsia" w:ascii="Times New Roman" w:cs="Times New Roman" w:hAnsiTheme="minorEastAsia"/>
          <w:sz w:val="24"/>
          <w:lang w:val="en-US" w:eastAsia="zh-CN"/>
        </w:rPr>
        <w:t xml:space="preserve">     </w:t>
      </w:r>
      <w:r>
        <w:rPr>
          <w:rFonts w:ascii="Times New Roman" w:cs="Times New Roman" w:hAnsiTheme="minorEastAsia"/>
          <w:b/>
          <w:bCs/>
        </w:rPr>
        <w:t>表</w:t>
      </w:r>
      <w:r>
        <w:rPr>
          <w:rFonts w:hint="eastAsia" w:ascii="Times New Roman" w:cs="Times New Roman" w:hAnsiTheme="minorEastAsia"/>
          <w:b/>
          <w:bCs/>
          <w:lang w:val="en-US" w:eastAsia="zh-CN"/>
        </w:rPr>
        <w:t>1</w:t>
      </w:r>
      <w:r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cs="Times New Roman" w:hAnsiTheme="minorEastAsia"/>
          <w:b/>
          <w:bCs/>
        </w:rPr>
        <w:t>正常组、</w:t>
      </w:r>
      <w:r>
        <w:rPr>
          <w:rFonts w:ascii="Times New Roman" w:hAnsi="Times New Roman" w:cs="Times New Roman"/>
          <w:b/>
          <w:bCs/>
        </w:rPr>
        <w:t>CKD</w:t>
      </w:r>
      <w:r>
        <w:rPr>
          <w:rFonts w:ascii="Times New Roman" w:cs="Times New Roman" w:hAnsiTheme="minorEastAsia"/>
          <w:b/>
          <w:bCs/>
        </w:rPr>
        <w:t>组和</w:t>
      </w:r>
      <w:r>
        <w:rPr>
          <w:rFonts w:ascii="Times New Roman" w:hAnsi="Times New Roman" w:cs="Times New Roman"/>
          <w:b/>
          <w:bCs/>
        </w:rPr>
        <w:t>AKI</w:t>
      </w:r>
      <w:r>
        <w:rPr>
          <w:rFonts w:ascii="Times New Roman" w:cs="Times New Roman" w:hAnsiTheme="minorEastAsia"/>
          <w:b/>
          <w:bCs/>
        </w:rPr>
        <w:t>组</w:t>
      </w:r>
      <w:r>
        <w:rPr>
          <w:rFonts w:ascii="Times New Roman" w:hAnsi="Times New Roman" w:cs="Times New Roman"/>
          <w:b/>
          <w:bCs/>
        </w:rPr>
        <w:t>IGFBP7</w:t>
      </w:r>
      <w:r>
        <w:rPr>
          <w:rFonts w:ascii="Times New Roman" w:cs="Times New Roman" w:hAnsiTheme="minorEastAsia"/>
          <w:b/>
          <w:bCs/>
        </w:rPr>
        <w:t>、</w:t>
      </w:r>
      <w:r>
        <w:rPr>
          <w:rFonts w:ascii="Times New Roman" w:hAnsi="Times New Roman" w:cs="Times New Roman"/>
          <w:b/>
          <w:bCs/>
        </w:rPr>
        <w:t>SCr</w:t>
      </w:r>
      <w:r>
        <w:rPr>
          <w:rFonts w:ascii="Times New Roman" w:cs="Times New Roman" w:hAnsiTheme="minorEastAsia"/>
          <w:b/>
          <w:bCs/>
        </w:rPr>
        <w:t>、</w:t>
      </w:r>
      <w:r>
        <w:rPr>
          <w:rFonts w:ascii="Times New Roman" w:hAnsi="Times New Roman" w:cs="Times New Roman"/>
          <w:b/>
          <w:bCs/>
        </w:rPr>
        <w:t>sCysC</w:t>
      </w:r>
      <w:r>
        <w:rPr>
          <w:rFonts w:hint="eastAsia" w:ascii="Times New Roman" w:cs="Times New Roman" w:hAnsiTheme="minorEastAsia"/>
          <w:b/>
          <w:bCs/>
          <w:lang w:val="en-US" w:eastAsia="zh-CN"/>
        </w:rPr>
        <w:t>水平比较</w:t>
      </w:r>
      <w:r>
        <w:rPr>
          <w:rFonts w:ascii="Times New Roman" w:cs="Times New Roman" w:hAnsiTheme="minorEastAsia"/>
          <w:b/>
          <w:bCs/>
        </w:rPr>
        <w:t>（</w:t>
      </w:r>
      <w:r>
        <w:rPr>
          <w:rFonts w:ascii="Times New Roman" w:hAnsi="Times New Roman" w:cs="Times New Roman"/>
          <w:b/>
          <w:bCs/>
          <w:position w:val="-6"/>
        </w:rPr>
        <w:object>
          <v:shape id="_x0000_i1026" o:spt="75" type="#_x0000_t75" style="height:22.95pt;width:34.8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7">
            <o:LockedField>false</o:LockedField>
          </o:OLEObject>
        </w:object>
      </w:r>
      <w:r>
        <w:rPr>
          <w:rFonts w:ascii="Times New Roman" w:cs="Times New Roman" w:hAnsiTheme="minorEastAsia"/>
          <w:b/>
          <w:bCs/>
        </w:rPr>
        <w:t>）</w:t>
      </w:r>
    </w:p>
    <w:tbl>
      <w:tblPr>
        <w:tblStyle w:val="12"/>
        <w:tblW w:w="7500" w:type="dxa"/>
        <w:jc w:val="center"/>
        <w:tblInd w:w="0" w:type="dxa"/>
        <w:tblBorders>
          <w:top w:val="single" w:color="auto" w:sz="12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12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911"/>
        <w:gridCol w:w="2114"/>
        <w:gridCol w:w="1585"/>
        <w:gridCol w:w="1515"/>
      </w:tblGrid>
      <w:tr>
        <w:tblPrEx>
          <w:tblBorders>
            <w:top w:val="single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1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375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 w:hAnsiTheme="minorEastAsia"/>
              </w:rPr>
              <w:t>组别</w:t>
            </w:r>
          </w:p>
        </w:tc>
        <w:tc>
          <w:tcPr>
            <w:tcW w:w="911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2114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 w:hAnsiTheme="minorEastAsia"/>
              </w:rPr>
              <w:t>尿</w:t>
            </w:r>
            <w:r>
              <w:rPr>
                <w:rFonts w:ascii="Times New Roman" w:hAnsi="Times New Roman" w:cs="Times New Roman"/>
              </w:rPr>
              <w:t>IGFBP7</w:t>
            </w:r>
            <w:r>
              <w:rPr>
                <w:rFonts w:ascii="Times New Roman" w:cs="Times New Roman" w:hAnsiTheme="minorEastAsia"/>
              </w:rPr>
              <w:t>（</w:t>
            </w:r>
            <w:r>
              <w:rPr>
                <w:rFonts w:ascii="Times New Roman" w:hAnsi="Times New Roman" w:cs="Times New Roman"/>
              </w:rPr>
              <w:t>ng/mL</w:t>
            </w:r>
            <w:r>
              <w:rPr>
                <w:rFonts w:ascii="Times New Roman" w:cs="Times New Roman" w:hAnsiTheme="minorEastAsia"/>
              </w:rPr>
              <w:t>）</w:t>
            </w:r>
          </w:p>
        </w:tc>
        <w:tc>
          <w:tcPr>
            <w:tcW w:w="1585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sCysC</w:t>
            </w:r>
            <w:r>
              <w:rPr>
                <w:rFonts w:ascii="Times New Roman" w:cs="Times New Roman" w:hAnsiTheme="minorEastAsia"/>
              </w:rPr>
              <w:t>（</w:t>
            </w:r>
            <w:r>
              <w:rPr>
                <w:rFonts w:ascii="Times New Roman" w:hAnsi="Times New Roman" w:cs="Times New Roman"/>
              </w:rPr>
              <w:t>mg/L</w:t>
            </w:r>
            <w:r>
              <w:rPr>
                <w:rFonts w:ascii="Times New Roman" w:cs="Times New Roman" w:hAnsiTheme="minorEastAsia"/>
              </w:rPr>
              <w:t>）</w:t>
            </w:r>
          </w:p>
        </w:tc>
        <w:tc>
          <w:tcPr>
            <w:tcW w:w="1515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SCr</w:t>
            </w:r>
            <w:r>
              <w:rPr>
                <w:rFonts w:ascii="Times New Roman" w:cs="Times New Roman" w:hAnsiTheme="minorEastAsia"/>
              </w:rPr>
              <w:t>（</w:t>
            </w:r>
            <w:r>
              <w:rPr>
                <w:rFonts w:ascii="Times New Roman" w:hAnsi="Times New Roman" w:cs="Times New Roman"/>
              </w:rPr>
              <w:t>umol/L</w:t>
            </w:r>
            <w:r>
              <w:rPr>
                <w:rFonts w:ascii="Times New Roman" w:cs="Times New Roman" w:hAnsiTheme="minorEastAsia"/>
              </w:rPr>
              <w:t>）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1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375" w:type="dxa"/>
            <w:tcBorders>
              <w:top w:val="single" w:color="auto" w:sz="4" w:space="0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AKI</w:t>
            </w:r>
            <w:r>
              <w:rPr>
                <w:rFonts w:ascii="Times New Roman" w:cs="Times New Roman" w:hAnsiTheme="minorEastAsia"/>
              </w:rPr>
              <w:t>组</w:t>
            </w:r>
          </w:p>
        </w:tc>
        <w:tc>
          <w:tcPr>
            <w:tcW w:w="911" w:type="dxa"/>
            <w:tcBorders>
              <w:top w:val="single" w:color="auto" w:sz="4" w:space="0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14" w:type="dxa"/>
            <w:tcBorders>
              <w:top w:val="single" w:color="auto" w:sz="4" w:space="0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26.01±6.84</w:t>
            </w:r>
            <w:r>
              <w:rPr>
                <w:rFonts w:ascii="Times New Roman" w:hAnsi="Times New Roman" w:cs="Times New Roman"/>
                <w:vertAlign w:val="superscript"/>
              </w:rPr>
              <w:t>ab</w:t>
            </w:r>
          </w:p>
        </w:tc>
        <w:tc>
          <w:tcPr>
            <w:tcW w:w="1585" w:type="dxa"/>
            <w:tcBorders>
              <w:top w:val="single" w:color="auto" w:sz="4" w:space="0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1.67±0.68</w:t>
            </w:r>
            <w:r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  <w:tc>
          <w:tcPr>
            <w:tcW w:w="1515" w:type="dxa"/>
            <w:tcBorders>
              <w:top w:val="single" w:color="auto" w:sz="4" w:space="0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264.2±112.8</w:t>
            </w:r>
            <w:r>
              <w:rPr>
                <w:rFonts w:ascii="Times New Roman" w:hAnsi="Times New Roman" w:cs="Times New Roman"/>
                <w:vertAlign w:val="superscript"/>
              </w:rPr>
              <w:t>ab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1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1375" w:type="dxa"/>
            <w:tcBorders>
              <w:top w:val="nil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CKD</w:t>
            </w:r>
            <w:r>
              <w:rPr>
                <w:rFonts w:ascii="Times New Roman" w:cs="Times New Roman" w:hAnsiTheme="minorEastAsia"/>
              </w:rPr>
              <w:t>组</w:t>
            </w:r>
          </w:p>
        </w:tc>
        <w:tc>
          <w:tcPr>
            <w:tcW w:w="911" w:type="dxa"/>
            <w:tcBorders>
              <w:top w:val="nil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14" w:type="dxa"/>
            <w:tcBorders>
              <w:top w:val="nil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15.78±6.14</w:t>
            </w:r>
            <w:r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  <w:tc>
          <w:tcPr>
            <w:tcW w:w="1585" w:type="dxa"/>
            <w:tcBorders>
              <w:top w:val="nil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1.52±0.54</w:t>
            </w:r>
            <w:r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  <w:tc>
          <w:tcPr>
            <w:tcW w:w="1515" w:type="dxa"/>
            <w:tcBorders>
              <w:top w:val="nil"/>
              <w:bottom w:val="nil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156.6±52.9</w:t>
            </w:r>
            <w:r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</w:tr>
      <w:tr>
        <w:tblPrEx>
          <w:tblBorders>
            <w:top w:val="single" w:color="auto" w:sz="12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12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375" w:type="dxa"/>
            <w:tcBorders>
              <w:top w:val="nil"/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 w:hAnsiTheme="minorEastAsia"/>
              </w:rPr>
              <w:t>正常组</w:t>
            </w:r>
          </w:p>
        </w:tc>
        <w:tc>
          <w:tcPr>
            <w:tcW w:w="911" w:type="dxa"/>
            <w:tcBorders>
              <w:top w:val="nil"/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114" w:type="dxa"/>
            <w:tcBorders>
              <w:top w:val="nil"/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14.44±6.53</w:t>
            </w:r>
          </w:p>
        </w:tc>
        <w:tc>
          <w:tcPr>
            <w:tcW w:w="1585" w:type="dxa"/>
            <w:tcBorders>
              <w:top w:val="nil"/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0.94±0.21</w:t>
            </w:r>
          </w:p>
        </w:tc>
        <w:tc>
          <w:tcPr>
            <w:tcW w:w="1515" w:type="dxa"/>
            <w:tcBorders>
              <w:top w:val="nil"/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73.5±14.2</w:t>
            </w:r>
          </w:p>
        </w:tc>
      </w:tr>
    </w:tbl>
    <w:p>
      <w:pPr>
        <w:spacing w:line="360" w:lineRule="auto"/>
        <w:jc w:val="left"/>
        <w:rPr>
          <w:rFonts w:ascii="Times New Roman" w:hAnsi="Times New Roman" w:cs="Times New Roman"/>
          <w:sz w:val="18"/>
          <w:szCs w:val="18"/>
        </w:rPr>
      </w:pPr>
      <w:r>
        <w:rPr>
          <w:rFonts w:hint="eastAsia" w:ascii="Times New Roman" w:cs="Times New Roman" w:hAnsiTheme="minorEastAsia"/>
          <w:sz w:val="20"/>
        </w:rPr>
        <w:t xml:space="preserve">   </w:t>
      </w:r>
      <w:r>
        <w:rPr>
          <w:rFonts w:hint="eastAsia" w:ascii="Times New Roman" w:cs="Times New Roman" w:hAnsiTheme="minorEastAsia"/>
          <w:sz w:val="20"/>
          <w:lang w:val="en-US" w:eastAsia="zh-CN"/>
        </w:rPr>
        <w:t xml:space="preserve">   </w:t>
      </w:r>
      <w:r>
        <w:rPr>
          <w:rFonts w:ascii="Times New Roman" w:cs="Times New Roman" w:hAnsiTheme="minorEastAsia"/>
          <w:sz w:val="21"/>
          <w:szCs w:val="21"/>
        </w:rPr>
        <w:t>注：</w:t>
      </w:r>
      <w:r>
        <w:rPr>
          <w:rFonts w:hint="eastAsia" w:ascii="Times New Roman" w:cs="Times New Roman" w:hAnsiTheme="minorEastAsia"/>
          <w:sz w:val="21"/>
          <w:szCs w:val="21"/>
          <w:lang w:val="en-US" w:eastAsia="zh-CN"/>
        </w:rPr>
        <w:t>a</w:t>
      </w:r>
      <w:r>
        <w:rPr>
          <w:rFonts w:ascii="Times New Roman" w:cs="Times New Roman" w:hAnsiTheme="minorEastAsia"/>
          <w:sz w:val="21"/>
          <w:szCs w:val="21"/>
        </w:rPr>
        <w:t>与正常组比较</w:t>
      </w:r>
      <w:r>
        <w:rPr>
          <w:rFonts w:ascii="Times New Roman" w:hAnsi="Times New Roman" w:cs="Times New Roman"/>
          <w:sz w:val="21"/>
          <w:szCs w:val="21"/>
        </w:rPr>
        <w:t>P&lt;0.05</w:t>
      </w:r>
      <w:r>
        <w:rPr>
          <w:rFonts w:ascii="Times New Roman" w:cs="Times New Roman" w:hAnsiTheme="minorEastAsia"/>
          <w:sz w:val="21"/>
          <w:szCs w:val="21"/>
        </w:rPr>
        <w:t>；</w:t>
      </w:r>
      <w:r>
        <w:rPr>
          <w:rFonts w:hint="eastAsia" w:ascii="Times New Roman" w:cs="Times New Roman" w:hAnsiTheme="minorEastAsia"/>
          <w:sz w:val="21"/>
          <w:szCs w:val="21"/>
          <w:lang w:val="en-US" w:eastAsia="zh-CN"/>
        </w:rPr>
        <w:t>b</w:t>
      </w:r>
      <w:r>
        <w:rPr>
          <w:rFonts w:ascii="Times New Roman" w:cs="Times New Roman" w:hAnsiTheme="minorEastAsia"/>
          <w:sz w:val="21"/>
          <w:szCs w:val="21"/>
        </w:rPr>
        <w:t>与</w:t>
      </w:r>
      <w:r>
        <w:rPr>
          <w:rFonts w:ascii="Times New Roman" w:hAnsi="Times New Roman" w:cs="Times New Roman"/>
          <w:sz w:val="21"/>
          <w:szCs w:val="21"/>
        </w:rPr>
        <w:t>CKD</w:t>
      </w:r>
      <w:r>
        <w:rPr>
          <w:rFonts w:ascii="Times New Roman" w:cs="Times New Roman" w:hAnsiTheme="minorEastAsia"/>
          <w:sz w:val="21"/>
          <w:szCs w:val="21"/>
        </w:rPr>
        <w:t>患者比较</w:t>
      </w:r>
      <w:r>
        <w:rPr>
          <w:rFonts w:ascii="Times New Roman" w:hAnsi="Times New Roman" w:cs="Times New Roman"/>
          <w:sz w:val="21"/>
          <w:szCs w:val="21"/>
        </w:rPr>
        <w:t xml:space="preserve"> P&lt;0.05</w:t>
      </w:r>
    </w:p>
    <w:p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cs="Times New Roman" w:hAnsiTheme="minorEastAsia"/>
          <w:b/>
          <w:bCs/>
        </w:rPr>
        <w:t>表</w:t>
      </w:r>
      <w:r>
        <w:rPr>
          <w:rFonts w:hint="eastAsia" w:ascii="Times New Roman" w:cs="Times New Roman" w:hAnsiTheme="minorEastAsia"/>
          <w:b/>
          <w:bCs/>
          <w:lang w:val="en-US" w:eastAsia="zh-CN"/>
        </w:rPr>
        <w:t>2</w:t>
      </w:r>
      <w:r>
        <w:rPr>
          <w:rFonts w:ascii="Times New Roman" w:hAnsi="Times New Roman" w:cs="Times New Roman"/>
          <w:b/>
          <w:bCs/>
        </w:rPr>
        <w:t xml:space="preserve">  AKI</w:t>
      </w:r>
      <w:r>
        <w:rPr>
          <w:rFonts w:ascii="Times New Roman" w:cs="Times New Roman" w:hAnsiTheme="minorEastAsia"/>
          <w:b/>
          <w:bCs/>
        </w:rPr>
        <w:t>各期</w:t>
      </w:r>
      <w:r>
        <w:rPr>
          <w:rFonts w:ascii="Times New Roman" w:hAnsi="Times New Roman" w:cs="Times New Roman"/>
          <w:b/>
          <w:bCs/>
        </w:rPr>
        <w:t>IGFBP7</w:t>
      </w:r>
      <w:r>
        <w:rPr>
          <w:rFonts w:ascii="Times New Roman" w:cs="Times New Roman" w:hAnsiTheme="minorEastAsia"/>
          <w:b/>
          <w:bCs/>
        </w:rPr>
        <w:t>、</w:t>
      </w:r>
      <w:r>
        <w:rPr>
          <w:rFonts w:ascii="Times New Roman" w:hAnsi="Times New Roman" w:cs="Times New Roman"/>
          <w:b/>
          <w:bCs/>
        </w:rPr>
        <w:t>SCr</w:t>
      </w:r>
      <w:r>
        <w:rPr>
          <w:rFonts w:ascii="Times New Roman" w:cs="Times New Roman" w:hAnsiTheme="minorEastAsia"/>
          <w:b/>
          <w:bCs/>
        </w:rPr>
        <w:t>、</w:t>
      </w:r>
      <w:r>
        <w:rPr>
          <w:rFonts w:ascii="Times New Roman" w:hAnsi="Times New Roman" w:cs="Times New Roman"/>
          <w:b/>
          <w:bCs/>
        </w:rPr>
        <w:t>sCysC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水平比较</w:t>
      </w:r>
      <w:r>
        <w:rPr>
          <w:rFonts w:ascii="Times New Roman" w:cs="Times New Roman" w:hAnsiTheme="minorEastAsia"/>
          <w:b/>
          <w:bCs/>
        </w:rPr>
        <w:t>（</w:t>
      </w:r>
      <w:r>
        <w:rPr>
          <w:rFonts w:ascii="Times New Roman" w:hAnsi="Times New Roman" w:cs="Times New Roman"/>
          <w:b/>
          <w:bCs/>
          <w:position w:val="-6"/>
        </w:rPr>
        <w:object>
          <v:shape id="_x0000_i1027" o:spt="75" type="#_x0000_t75" style="height:22.95pt;width:34.8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8">
            <o:LockedField>false</o:LockedField>
          </o:OLEObject>
        </w:object>
      </w:r>
      <w:r>
        <w:rPr>
          <w:rFonts w:ascii="Times New Roman" w:cs="Times New Roman" w:hAnsiTheme="minorEastAsia"/>
          <w:b/>
          <w:bCs/>
        </w:rPr>
        <w:t>）</w:t>
      </w:r>
    </w:p>
    <w:tbl>
      <w:tblPr>
        <w:tblStyle w:val="12"/>
        <w:tblW w:w="7641" w:type="dxa"/>
        <w:tblInd w:w="448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9"/>
        <w:gridCol w:w="924"/>
        <w:gridCol w:w="2122"/>
        <w:gridCol w:w="1605"/>
        <w:gridCol w:w="1581"/>
      </w:tblGrid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409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 w:hAnsiTheme="minorEastAsia"/>
              </w:rPr>
              <w:t>组别</w:t>
            </w:r>
          </w:p>
        </w:tc>
        <w:tc>
          <w:tcPr>
            <w:tcW w:w="924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2122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 w:hAnsiTheme="minorEastAsia"/>
              </w:rPr>
              <w:t>尿</w:t>
            </w:r>
            <w:r>
              <w:rPr>
                <w:rFonts w:ascii="Times New Roman" w:hAnsi="Times New Roman" w:cs="Times New Roman"/>
              </w:rPr>
              <w:t>IGFBP7</w:t>
            </w:r>
            <w:r>
              <w:rPr>
                <w:rFonts w:ascii="Times New Roman" w:cs="Times New Roman" w:hAnsiTheme="minorEastAsia"/>
              </w:rPr>
              <w:t>（</w:t>
            </w:r>
            <w:r>
              <w:rPr>
                <w:rFonts w:ascii="Times New Roman" w:hAnsi="Times New Roman" w:cs="Times New Roman"/>
              </w:rPr>
              <w:t>ng/mL</w:t>
            </w:r>
            <w:r>
              <w:rPr>
                <w:rFonts w:ascii="Times New Roman" w:cs="Times New Roman" w:hAnsiTheme="minorEastAsia"/>
              </w:rPr>
              <w:t>）</w:t>
            </w:r>
          </w:p>
        </w:tc>
        <w:tc>
          <w:tcPr>
            <w:tcW w:w="1605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sCysC</w:t>
            </w:r>
            <w:r>
              <w:rPr>
                <w:rFonts w:ascii="Times New Roman" w:cs="Times New Roman" w:hAnsiTheme="minorEastAsia"/>
              </w:rPr>
              <w:t>（</w:t>
            </w:r>
            <w:r>
              <w:rPr>
                <w:rFonts w:ascii="Times New Roman" w:hAnsi="Times New Roman" w:cs="Times New Roman"/>
              </w:rPr>
              <w:t>mg/L</w:t>
            </w:r>
            <w:r>
              <w:rPr>
                <w:rFonts w:ascii="Times New Roman" w:cs="Times New Roman" w:hAnsiTheme="minorEastAsia"/>
              </w:rPr>
              <w:t>）</w:t>
            </w:r>
          </w:p>
        </w:tc>
        <w:tc>
          <w:tcPr>
            <w:tcW w:w="1581" w:type="dxa"/>
            <w:tcBorders>
              <w:top w:val="single" w:color="auto" w:sz="12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SCr</w:t>
            </w:r>
            <w:r>
              <w:rPr>
                <w:rFonts w:ascii="Times New Roman" w:cs="Times New Roman" w:hAnsiTheme="minorEastAsia"/>
              </w:rPr>
              <w:t>（</w:t>
            </w:r>
            <w:r>
              <w:rPr>
                <w:rFonts w:ascii="Times New Roman" w:hAnsi="Times New Roman" w:cs="Times New Roman"/>
              </w:rPr>
              <w:t>umol/L</w:t>
            </w:r>
            <w:r>
              <w:rPr>
                <w:rFonts w:ascii="Times New Roman" w:cs="Times New Roman" w:hAnsiTheme="minorEastAsia"/>
              </w:rPr>
              <w:t>）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409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AKI1</w:t>
            </w:r>
            <w:r>
              <w:rPr>
                <w:rFonts w:ascii="Times New Roman" w:cs="Times New Roman" w:hAnsiTheme="minorEastAsia"/>
              </w:rPr>
              <w:t>期</w:t>
            </w:r>
          </w:p>
        </w:tc>
        <w:tc>
          <w:tcPr>
            <w:tcW w:w="924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122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19.04±3.09</w:t>
            </w:r>
          </w:p>
        </w:tc>
        <w:tc>
          <w:tcPr>
            <w:tcW w:w="1605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1.11±0.23</w:t>
            </w:r>
          </w:p>
        </w:tc>
        <w:tc>
          <w:tcPr>
            <w:tcW w:w="1581" w:type="dxa"/>
            <w:tcBorders>
              <w:top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159.4±20.3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409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AKI2</w:t>
            </w:r>
            <w:r>
              <w:rPr>
                <w:rFonts w:ascii="Times New Roman" w:cs="Times New Roman" w:hAnsiTheme="minorEastAsia"/>
              </w:rPr>
              <w:t>期</w:t>
            </w:r>
          </w:p>
        </w:tc>
        <w:tc>
          <w:tcPr>
            <w:tcW w:w="924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122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27.59±3.81</w:t>
            </w:r>
            <w:r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  <w:tc>
          <w:tcPr>
            <w:tcW w:w="1605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1.71±0.51</w:t>
            </w:r>
            <w:r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  <w:tc>
          <w:tcPr>
            <w:tcW w:w="1581" w:type="dxa"/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263.1±27.9</w:t>
            </w:r>
            <w:r>
              <w:rPr>
                <w:rFonts w:ascii="Times New Roman" w:hAnsi="Times New Roman" w:cs="Times New Roman"/>
                <w:vertAlign w:val="superscript"/>
              </w:rPr>
              <w:t>a</w:t>
            </w:r>
          </w:p>
        </w:tc>
      </w:tr>
      <w:tr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1409" w:type="dxa"/>
            <w:tcBorders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AKI3</w:t>
            </w:r>
            <w:r>
              <w:rPr>
                <w:rFonts w:ascii="Times New Roman" w:cs="Times New Roman" w:hAnsiTheme="minorEastAsia"/>
              </w:rPr>
              <w:t>期</w:t>
            </w:r>
          </w:p>
        </w:tc>
        <w:tc>
          <w:tcPr>
            <w:tcW w:w="924" w:type="dxa"/>
            <w:tcBorders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122" w:type="dxa"/>
            <w:tcBorders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33.8±4.26</w:t>
            </w:r>
            <w:r>
              <w:rPr>
                <w:rFonts w:ascii="Times New Roman" w:hAnsi="Times New Roman" w:cs="Times New Roman"/>
                <w:vertAlign w:val="superscript"/>
              </w:rPr>
              <w:t>ab</w:t>
            </w:r>
          </w:p>
        </w:tc>
        <w:tc>
          <w:tcPr>
            <w:tcW w:w="1605" w:type="dxa"/>
            <w:tcBorders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2.44±0.61</w:t>
            </w:r>
            <w:r>
              <w:rPr>
                <w:rFonts w:ascii="Times New Roman" w:hAnsi="Times New Roman" w:cs="Times New Roman"/>
                <w:vertAlign w:val="superscript"/>
              </w:rPr>
              <w:t>ab</w:t>
            </w:r>
          </w:p>
        </w:tc>
        <w:tc>
          <w:tcPr>
            <w:tcW w:w="1581" w:type="dxa"/>
            <w:tcBorders>
              <w:bottom w:val="single" w:color="auto" w:sz="12" w:space="0"/>
            </w:tcBorders>
          </w:tcPr>
          <w:p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423.4±95.5</w:t>
            </w:r>
            <w:r>
              <w:rPr>
                <w:rFonts w:ascii="Times New Roman" w:hAnsi="Times New Roman" w:cs="Times New Roman"/>
                <w:vertAlign w:val="superscript"/>
              </w:rPr>
              <w:t>ab</w:t>
            </w:r>
          </w:p>
        </w:tc>
      </w:tr>
    </w:tbl>
    <w:p>
      <w:pPr>
        <w:spacing w:line="360" w:lineRule="auto"/>
        <w:jc w:val="lef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hint="eastAsia" w:ascii="Times New Roman" w:hAnsi="Times New Roman" w:cs="Times New Roman"/>
          <w:sz w:val="20"/>
          <w:szCs w:val="20"/>
          <w:lang w:val="en-US" w:eastAsia="zh-CN"/>
        </w:rPr>
        <w:t xml:space="preserve">    </w:t>
      </w:r>
      <w:r>
        <w:rPr>
          <w:rFonts w:ascii="Times New Roman" w:cs="Times New Roman" w:hAnsiTheme="minorEastAsia"/>
          <w:sz w:val="21"/>
          <w:szCs w:val="21"/>
        </w:rPr>
        <w:t>注：</w:t>
      </w:r>
      <w:r>
        <w:rPr>
          <w:rFonts w:hint="eastAsia" w:ascii="Times New Roman" w:cs="Times New Roman" w:hAnsiTheme="minorEastAsia"/>
          <w:sz w:val="21"/>
          <w:szCs w:val="21"/>
          <w:lang w:val="en-US" w:eastAsia="zh-CN"/>
        </w:rPr>
        <w:t>a</w:t>
      </w:r>
      <w:r>
        <w:rPr>
          <w:rFonts w:ascii="Times New Roman" w:cs="Times New Roman" w:hAnsiTheme="minorEastAsia"/>
          <w:sz w:val="21"/>
          <w:szCs w:val="21"/>
        </w:rPr>
        <w:t>与</w:t>
      </w:r>
      <w:r>
        <w:rPr>
          <w:rFonts w:ascii="Times New Roman" w:hAnsi="Times New Roman" w:cs="Times New Roman"/>
          <w:sz w:val="21"/>
          <w:szCs w:val="21"/>
        </w:rPr>
        <w:t>AKI1</w:t>
      </w:r>
      <w:r>
        <w:rPr>
          <w:rFonts w:ascii="Times New Roman" w:cs="Times New Roman" w:hAnsiTheme="minorEastAsia"/>
          <w:sz w:val="21"/>
          <w:szCs w:val="21"/>
        </w:rPr>
        <w:t>期比较</w:t>
      </w:r>
      <w:r>
        <w:rPr>
          <w:rFonts w:ascii="Times New Roman" w:hAnsi="Times New Roman" w:cs="Times New Roman"/>
          <w:sz w:val="21"/>
          <w:szCs w:val="21"/>
        </w:rPr>
        <w:t xml:space="preserve"> P&lt;0.05</w:t>
      </w:r>
      <w:r>
        <w:rPr>
          <w:rFonts w:ascii="Times New Roman" w:cs="Times New Roman" w:hAnsiTheme="minorEastAsia"/>
          <w:sz w:val="21"/>
          <w:szCs w:val="21"/>
        </w:rPr>
        <w:t>；</w:t>
      </w:r>
      <w:r>
        <w:rPr>
          <w:rFonts w:hint="eastAsia" w:ascii="Times New Roman" w:cs="Times New Roman" w:hAnsiTheme="minorEastAsia"/>
          <w:sz w:val="21"/>
          <w:szCs w:val="21"/>
          <w:lang w:val="en-US" w:eastAsia="zh-CN"/>
        </w:rPr>
        <w:t>b</w:t>
      </w:r>
      <w:r>
        <w:rPr>
          <w:rFonts w:ascii="Times New Roman" w:cs="Times New Roman" w:hAnsiTheme="minorEastAsia"/>
          <w:sz w:val="21"/>
          <w:szCs w:val="21"/>
        </w:rPr>
        <w:t>与</w:t>
      </w:r>
      <w:r>
        <w:rPr>
          <w:rFonts w:ascii="Times New Roman" w:hAnsi="Times New Roman" w:cs="Times New Roman"/>
          <w:sz w:val="21"/>
          <w:szCs w:val="21"/>
        </w:rPr>
        <w:t>AKI2</w:t>
      </w:r>
      <w:r>
        <w:rPr>
          <w:rFonts w:ascii="Times New Roman" w:cs="Times New Roman" w:hAnsiTheme="minorEastAsia"/>
          <w:sz w:val="21"/>
          <w:szCs w:val="21"/>
        </w:rPr>
        <w:t>期比较</w:t>
      </w:r>
      <w:r>
        <w:rPr>
          <w:rFonts w:ascii="Times New Roman" w:hAnsi="Times New Roman" w:cs="Times New Roman"/>
          <w:sz w:val="21"/>
          <w:szCs w:val="21"/>
        </w:rPr>
        <w:t>P&lt;0.05</w:t>
      </w:r>
    </w:p>
    <w:p>
      <w:pPr>
        <w:spacing w:line="360" w:lineRule="auto"/>
        <w:ind w:firstLine="480" w:firstLineChars="20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cs="Times New Roman" w:hAnsiTheme="minorEastAsia"/>
          <w:sz w:val="24"/>
        </w:rPr>
        <w:t>结果显示</w:t>
      </w:r>
      <w:r>
        <w:rPr>
          <w:rFonts w:hint="eastAsia" w:ascii="Times New Roman" w:cs="Times New Roman" w:hAnsiTheme="minorEastAsia"/>
          <w:sz w:val="24"/>
        </w:rPr>
        <w:t>：与</w:t>
      </w:r>
      <w:r>
        <w:rPr>
          <w:rFonts w:ascii="Times New Roman" w:cs="Times New Roman" w:hAnsiTheme="minorEastAsia"/>
          <w:sz w:val="24"/>
        </w:rPr>
        <w:t>正常组、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组</w:t>
      </w:r>
      <w:r>
        <w:rPr>
          <w:rFonts w:hint="eastAsia" w:ascii="Times New Roman" w:cs="Times New Roman" w:hAnsiTheme="minorEastAsia"/>
          <w:sz w:val="24"/>
        </w:rPr>
        <w:t>相比，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组的尿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水平显著升高，差异具有统计学意义（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）；</w:t>
      </w:r>
      <w:r>
        <w:rPr>
          <w:rFonts w:hint="eastAsia" w:ascii="Times New Roman" w:cs="Times New Roman" w:hAnsiTheme="minorEastAsia"/>
          <w:sz w:val="24"/>
        </w:rPr>
        <w:t>与</w:t>
      </w:r>
      <w:r>
        <w:rPr>
          <w:rFonts w:ascii="Times New Roman" w:cs="Times New Roman" w:hAnsiTheme="minorEastAsia"/>
          <w:sz w:val="24"/>
        </w:rPr>
        <w:t>正常组</w:t>
      </w:r>
      <w:r>
        <w:rPr>
          <w:rFonts w:hint="eastAsia" w:ascii="Times New Roman" w:cs="Times New Roman" w:hAnsiTheme="minorEastAsia"/>
          <w:sz w:val="24"/>
        </w:rPr>
        <w:t>相比，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水平明显升高，差异有统计学意义（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）；</w:t>
      </w:r>
      <w:r>
        <w:rPr>
          <w:rFonts w:hint="eastAsia" w:ascii="Times New Roman" w:cs="Times New Roman" w:hAnsiTheme="minorEastAsia"/>
          <w:sz w:val="24"/>
        </w:rPr>
        <w:t>与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组</w:t>
      </w:r>
      <w:r>
        <w:rPr>
          <w:rFonts w:hint="eastAsia" w:ascii="Times New Roman" w:cs="Times New Roman" w:hAnsiTheme="minorEastAsia"/>
          <w:sz w:val="24"/>
        </w:rPr>
        <w:t>相比，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水平较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组稍升高，差异无统计学意义（</w:t>
      </w:r>
      <w:r>
        <w:rPr>
          <w:rFonts w:ascii="Times New Roman" w:hAnsi="Times New Roman" w:cs="Times New Roman"/>
          <w:sz w:val="24"/>
        </w:rPr>
        <w:t>P&gt;0.05</w:t>
      </w:r>
      <w:r>
        <w:rPr>
          <w:rFonts w:ascii="Times New Roman" w:cs="Times New Roman" w:hAnsiTheme="minorEastAsia"/>
          <w:sz w:val="24"/>
        </w:rPr>
        <w:t>）；随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各期进展尿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、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水平逐渐升高，各期之间差异具有统计学意义（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）。</w:t>
      </w:r>
    </w:p>
    <w:p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2.</w:t>
      </w:r>
      <w:r>
        <w:rPr>
          <w:rFonts w:hint="eastAsia" w:ascii="Times New Roman" w:hAnsi="Times New Roman" w:cs="Times New Roman"/>
          <w:b/>
          <w:bCs/>
          <w:sz w:val="24"/>
          <w:lang w:val="en-US" w:eastAsia="zh-CN"/>
        </w:rPr>
        <w:t>2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cs="Times New Roman" w:hAnsiTheme="minorEastAsia"/>
          <w:sz w:val="24"/>
        </w:rPr>
        <w:t>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与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、</w:t>
      </w:r>
      <w:r>
        <w:rPr>
          <w:rFonts w:ascii="Times New Roman" w:hAnsi="Times New Roman" w:cs="Times New Roman"/>
          <w:sz w:val="24"/>
        </w:rPr>
        <w:t>SCr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相关性分析</w:t>
      </w:r>
      <w:r>
        <w:rPr>
          <w:rFonts w:hint="eastAsia" w:ascii="Times New Roman" w:cs="Times New Roman" w:hAnsiTheme="minorEastAsia"/>
          <w:sz w:val="24"/>
        </w:rPr>
        <w:t>：</w:t>
      </w:r>
    </w:p>
    <w:p>
      <w:pPr>
        <w:spacing w:line="360" w:lineRule="auto"/>
        <w:ind w:firstLine="480" w:firstLineChars="20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50</w:t>
      </w:r>
      <w:r>
        <w:rPr>
          <w:rFonts w:ascii="Times New Roman" w:cs="Times New Roman" w:hAnsiTheme="minorEastAsia"/>
          <w:sz w:val="24"/>
        </w:rPr>
        <w:t>例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患者中，尿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与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成正相关（</w:t>
      </w:r>
      <w:r>
        <w:rPr>
          <w:rFonts w:ascii="Times New Roman" w:hAnsi="Times New Roman" w:cs="Times New Roman"/>
          <w:sz w:val="24"/>
        </w:rPr>
        <w:t>r=0.782</w:t>
      </w:r>
      <w:r>
        <w:rPr>
          <w:rFonts w:ascii="Times New Roman" w:cs="Times New Roman" w:hAnsiTheme="minorEastAsia"/>
          <w:sz w:val="24"/>
        </w:rPr>
        <w:t>，</w:t>
      </w:r>
      <w:r>
        <w:rPr>
          <w:rFonts w:ascii="Times New Roman" w:hAnsi="Times New Roman" w:cs="Times New Roman"/>
          <w:sz w:val="24"/>
        </w:rPr>
        <w:t>P&lt;0.01</w:t>
      </w:r>
      <w:r>
        <w:rPr>
          <w:rFonts w:ascii="Times New Roman" w:cs="Times New Roman" w:hAnsiTheme="minorEastAsia"/>
          <w:sz w:val="24"/>
        </w:rPr>
        <w:t>）；尿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与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成正相关（</w:t>
      </w:r>
      <w:r>
        <w:rPr>
          <w:rFonts w:ascii="Times New Roman" w:hAnsi="Times New Roman" w:cs="Times New Roman"/>
          <w:sz w:val="24"/>
        </w:rPr>
        <w:t>r=0.884</w:t>
      </w:r>
      <w:r>
        <w:rPr>
          <w:rFonts w:ascii="Times New Roman" w:cs="Times New Roman" w:hAnsiTheme="minorEastAsia"/>
          <w:sz w:val="24"/>
        </w:rPr>
        <w:t>，</w:t>
      </w:r>
      <w:r>
        <w:rPr>
          <w:rFonts w:ascii="Times New Roman" w:hAnsi="Times New Roman" w:cs="Times New Roman"/>
          <w:sz w:val="24"/>
        </w:rPr>
        <w:t>P&lt;0.01</w:t>
      </w:r>
      <w:r>
        <w:rPr>
          <w:rFonts w:ascii="Times New Roman" w:cs="Times New Roman" w:hAnsiTheme="minorEastAsia"/>
          <w:sz w:val="24"/>
        </w:rPr>
        <w:t>）。</w:t>
      </w:r>
    </w:p>
    <w:p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2.</w:t>
      </w:r>
      <w:r>
        <w:rPr>
          <w:rFonts w:hint="eastAsia" w:ascii="Times New Roman" w:hAnsi="Times New Roman" w:cs="Times New Roman"/>
          <w:b/>
          <w:bCs/>
          <w:sz w:val="24"/>
          <w:lang w:val="en-US" w:eastAsia="zh-CN"/>
        </w:rPr>
        <w:t>4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cs="Times New Roman" w:hAnsiTheme="minorEastAsia"/>
          <w:sz w:val="24"/>
        </w:rPr>
        <w:t>用</w:t>
      </w:r>
      <w:r>
        <w:rPr>
          <w:rFonts w:ascii="Times New Roman" w:hAnsi="Times New Roman" w:cs="Times New Roman"/>
          <w:sz w:val="24"/>
        </w:rPr>
        <w:t>ROC</w:t>
      </w:r>
      <w:r>
        <w:rPr>
          <w:rFonts w:ascii="Times New Roman" w:cs="Times New Roman" w:hAnsiTheme="minorEastAsia"/>
          <w:sz w:val="24"/>
        </w:rPr>
        <w:t>曲线分析</w:t>
      </w:r>
      <w:r>
        <w:rPr>
          <w:rFonts w:hint="eastAsia" w:ascii="Times New Roman" w:cs="Times New Roman" w:hAnsiTheme="minorEastAsia"/>
          <w:sz w:val="24"/>
          <w:lang w:val="en-US" w:eastAsia="zh-CN"/>
        </w:rPr>
        <w:t>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与</w:t>
      </w:r>
      <w:r>
        <w:rPr>
          <w:rFonts w:hint="eastAsia" w:ascii="Times New Roman" w:cs="Times New Roman" w:hAnsiTheme="minorEastAsia"/>
          <w:sz w:val="24"/>
          <w:lang w:val="en-US" w:eastAsia="zh-CN"/>
        </w:rPr>
        <w:t>血清</w:t>
      </w:r>
      <w:r>
        <w:rPr>
          <w:rFonts w:ascii="Times New Roman" w:hAnsi="Times New Roman" w:cs="Times New Roman"/>
          <w:sz w:val="24"/>
        </w:rPr>
        <w:t>sCysC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在预测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的效能，由</w:t>
      </w:r>
      <w:r>
        <w:rPr>
          <w:rFonts w:ascii="Times New Roman" w:hAnsi="Times New Roman" w:cs="Times New Roman"/>
          <w:sz w:val="24"/>
        </w:rPr>
        <w:t>ROC</w:t>
      </w:r>
      <w:r>
        <w:rPr>
          <w:rFonts w:ascii="Times New Roman" w:cs="Times New Roman" w:hAnsiTheme="minorEastAsia"/>
          <w:sz w:val="24"/>
        </w:rPr>
        <w:t>曲线可以看出</w:t>
      </w:r>
      <w:r>
        <w:rPr>
          <w:rFonts w:hint="eastAsia" w:ascii="Times New Roman" w:cs="Times New Roman" w:hAnsiTheme="minorEastAsia"/>
          <w:sz w:val="24"/>
          <w:lang w:val="en-US" w:eastAsia="zh-CN"/>
        </w:rPr>
        <w:t>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hAnsi="Times New Roman" w:cs="Times New Roman"/>
          <w:sz w:val="24"/>
          <w:lang w:val="en-US" w:eastAsia="zh-CN"/>
        </w:rPr>
        <w:t>水平</w:t>
      </w:r>
      <w:r>
        <w:rPr>
          <w:rFonts w:ascii="Times New Roman" w:cs="Times New Roman" w:hAnsiTheme="minorEastAsia"/>
          <w:sz w:val="24"/>
        </w:rPr>
        <w:t>在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的诊断中，曲线下面积（</w:t>
      </w:r>
      <w:r>
        <w:rPr>
          <w:rFonts w:ascii="Times New Roman" w:hAnsi="Times New Roman" w:cs="Times New Roman"/>
          <w:sz w:val="24"/>
        </w:rPr>
        <w:t>AUC</w:t>
      </w:r>
      <w:r>
        <w:rPr>
          <w:rFonts w:ascii="Times New Roman" w:cs="Times New Roman" w:hAnsiTheme="minorEastAsia"/>
          <w:sz w:val="24"/>
        </w:rPr>
        <w:t>）为</w:t>
      </w:r>
      <w:r>
        <w:rPr>
          <w:rFonts w:ascii="Times New Roman" w:hAnsi="Times New Roman" w:cs="Times New Roman"/>
          <w:sz w:val="24"/>
        </w:rPr>
        <w:t>0.889</w:t>
      </w:r>
      <w:r>
        <w:rPr>
          <w:rFonts w:ascii="Times New Roman" w:cs="Times New Roman" w:hAnsiTheme="minorEastAsia"/>
          <w:sz w:val="24"/>
        </w:rPr>
        <w:t>，</w:t>
      </w:r>
      <w:r>
        <w:rPr>
          <w:rFonts w:ascii="Times New Roman" w:hAnsi="Times New Roman" w:cs="Times New Roman"/>
          <w:sz w:val="24"/>
        </w:rPr>
        <w:t>95%</w:t>
      </w:r>
      <w:r>
        <w:rPr>
          <w:rFonts w:ascii="Times New Roman" w:cs="Times New Roman" w:hAnsiTheme="minorEastAsia"/>
          <w:sz w:val="24"/>
        </w:rPr>
        <w:t>可信区间（</w:t>
      </w:r>
      <w:r>
        <w:rPr>
          <w:rFonts w:ascii="Times New Roman" w:hAnsi="Times New Roman" w:cs="Times New Roman"/>
          <w:sz w:val="24"/>
        </w:rPr>
        <w:t>0.813,0.966</w:t>
      </w:r>
      <w:r>
        <w:rPr>
          <w:rFonts w:ascii="Times New Roman" w:cs="Times New Roman" w:hAnsiTheme="minorEastAsia"/>
          <w:sz w:val="24"/>
        </w:rPr>
        <w:t>）（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）。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曲线下面积为</w:t>
      </w:r>
      <w:r>
        <w:rPr>
          <w:rFonts w:ascii="Times New Roman" w:hAnsi="Times New Roman" w:cs="Times New Roman"/>
          <w:sz w:val="24"/>
        </w:rPr>
        <w:t>0.877</w:t>
      </w:r>
      <w:r>
        <w:rPr>
          <w:rFonts w:ascii="Times New Roman" w:cs="Times New Roman" w:hAnsiTheme="minorEastAsia"/>
          <w:sz w:val="24"/>
        </w:rPr>
        <w:t>，</w:t>
      </w:r>
      <w:r>
        <w:rPr>
          <w:rFonts w:ascii="Times New Roman" w:hAnsi="Times New Roman" w:cs="Times New Roman"/>
          <w:sz w:val="24"/>
        </w:rPr>
        <w:t>95%</w:t>
      </w:r>
      <w:r>
        <w:rPr>
          <w:rFonts w:ascii="Times New Roman" w:cs="Times New Roman" w:hAnsiTheme="minorEastAsia"/>
          <w:sz w:val="24"/>
        </w:rPr>
        <w:t>可信区间（</w:t>
      </w:r>
      <w:r>
        <w:rPr>
          <w:rFonts w:ascii="Times New Roman" w:hAnsi="Times New Roman" w:cs="Times New Roman"/>
          <w:sz w:val="24"/>
        </w:rPr>
        <w:t>0.803,0.951</w:t>
      </w:r>
      <w:r>
        <w:rPr>
          <w:rFonts w:ascii="Times New Roman" w:cs="Times New Roman" w:hAnsiTheme="minorEastAsia"/>
          <w:sz w:val="24"/>
        </w:rPr>
        <w:t>）（</w:t>
      </w:r>
      <w:r>
        <w:rPr>
          <w:rFonts w:ascii="Times New Roman" w:hAnsi="Times New Roman" w:cs="Times New Roman"/>
          <w:sz w:val="24"/>
        </w:rPr>
        <w:t>P&lt;0.05</w:t>
      </w:r>
      <w:r>
        <w:rPr>
          <w:rFonts w:ascii="Times New Roman" w:cs="Times New Roman" w:hAnsiTheme="minorEastAsia"/>
          <w:sz w:val="24"/>
        </w:rPr>
        <w:t>）。</w:t>
      </w:r>
    </w:p>
    <w:p>
      <w:pPr>
        <w:spacing w:line="360" w:lineRule="auto"/>
        <w:jc w:val="left"/>
        <w:rPr>
          <w:rFonts w:ascii="Times New Roman" w:hAnsi="Times New Roman" w:cs="Times New Roman"/>
          <w:b/>
          <w:bCs/>
          <w:sz w:val="24"/>
        </w:rPr>
      </w:pPr>
      <w:r>
        <w:drawing>
          <wp:inline distT="0" distB="0" distL="114300" distR="114300">
            <wp:extent cx="3206750" cy="3328035"/>
            <wp:effectExtent l="0" t="0" r="12700" b="5715"/>
            <wp:docPr id="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7"/>
                    <pic:cNvPicPr>
                      <a:picLocks noChangeAspect="1"/>
                    </pic:cNvPicPr>
                  </pic:nvPicPr>
                  <pic:blipFill>
                    <a:blip r:embed="rId9"/>
                    <a:srcRect l="2973" t="26707" r="3767" b="3968"/>
                    <a:stretch>
                      <a:fillRect/>
                    </a:stretch>
                  </pic:blipFill>
                  <pic:spPr>
                    <a:xfrm>
                      <a:off x="0" y="0"/>
                      <a:ext cx="3206750" cy="33280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Times New Roman" w:hAnsi="Times New Roman" w:cs="Times New Roman"/>
          <w:color w:val="FF0000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</w:t>
      </w:r>
      <w:r>
        <w:rPr>
          <w:rFonts w:ascii="Times New Roman" w:cs="Times New Roman" w:hAnsiTheme="minorEastAsia"/>
          <w:b/>
          <w:bCs/>
          <w:sz w:val="24"/>
        </w:rPr>
        <w:t>讨论</w:t>
      </w:r>
    </w:p>
    <w:p>
      <w:pPr>
        <w:spacing w:line="360" w:lineRule="auto"/>
        <w:ind w:firstLine="480" w:firstLineChars="20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是胰岛素样生长因子结合蛋白超家族（</w:t>
      </w:r>
      <w:r>
        <w:rPr>
          <w:rFonts w:ascii="Times New Roman" w:hAnsi="Times New Roman" w:cs="Times New Roman"/>
          <w:sz w:val="24"/>
        </w:rPr>
        <w:t>IGFBPs</w:t>
      </w:r>
      <w:r>
        <w:rPr>
          <w:rFonts w:ascii="Times New Roman" w:cs="Times New Roman" w:hAnsiTheme="minorEastAsia"/>
          <w:sz w:val="24"/>
        </w:rPr>
        <w:t>）中的一员，是一种分泌性糖蛋白，由平滑肌细胞、血管内皮细胞、上皮细胞等分泌</w:t>
      </w:r>
      <w:r>
        <w:rPr>
          <w:rFonts w:ascii="Times New Roman" w:hAnsi="Times New Roman" w:cs="Times New Roman"/>
          <w:sz w:val="24"/>
          <w:vertAlign w:val="superscript"/>
        </w:rPr>
        <w:t>[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7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，能够在血浆、尿液以及肠道、膀胱、肾等组织中被检测到</w:t>
      </w:r>
      <w:r>
        <w:rPr>
          <w:rFonts w:ascii="Times New Roman" w:hAnsi="Times New Roman" w:cs="Times New Roman"/>
          <w:sz w:val="24"/>
          <w:vertAlign w:val="superscript"/>
        </w:rPr>
        <w:t>[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8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。文献报道，肾小管上皮细胞损伤后可分泌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，通过诱导周围存活细胞进入细胞周期停滞期，上调</w:t>
      </w:r>
      <w:r>
        <w:rPr>
          <w:rFonts w:ascii="Times New Roman" w:hAnsi="Times New Roman" w:cs="Times New Roman"/>
          <w:sz w:val="24"/>
        </w:rPr>
        <w:t>P21</w:t>
      </w:r>
      <w:r>
        <w:rPr>
          <w:rFonts w:ascii="Times New Roman" w:cs="Times New Roman" w:hAnsiTheme="minorEastAsia"/>
          <w:sz w:val="24"/>
        </w:rPr>
        <w:t>和</w:t>
      </w:r>
      <w:r>
        <w:rPr>
          <w:rFonts w:ascii="Times New Roman" w:hAnsi="Times New Roman" w:cs="Times New Roman"/>
          <w:sz w:val="24"/>
        </w:rPr>
        <w:t>P53</w:t>
      </w:r>
      <w:r>
        <w:rPr>
          <w:rFonts w:ascii="Times New Roman" w:cs="Times New Roman" w:hAnsiTheme="minorEastAsia"/>
          <w:sz w:val="24"/>
        </w:rPr>
        <w:t>的表达，减轻肾损伤</w:t>
      </w:r>
      <w:r>
        <w:rPr>
          <w:rFonts w:hint="eastAsia" w:ascii="Times New Roman" w:cs="Times New Roman" w:hAnsiTheme="minorEastAsia"/>
          <w:sz w:val="24"/>
        </w:rPr>
        <w:t>。</w:t>
      </w:r>
      <w:r>
        <w:rPr>
          <w:rFonts w:ascii="Times New Roman" w:cs="Times New Roman" w:hAnsiTheme="minorEastAsia"/>
          <w:sz w:val="24"/>
        </w:rPr>
        <w:t>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持续高水平表达至损伤修复，这可能是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的一种早期应答机制</w:t>
      </w:r>
      <w:r>
        <w:rPr>
          <w:rFonts w:ascii="Times New Roman" w:hAnsi="Times New Roman" w:cs="Times New Roman"/>
          <w:sz w:val="24"/>
          <w:vertAlign w:val="superscript"/>
        </w:rPr>
        <w:t>[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9</w:t>
      </w:r>
      <w:r>
        <w:rPr>
          <w:rFonts w:ascii="Times New Roman" w:hAnsi="Times New Roman" w:cs="Times New Roman"/>
          <w:sz w:val="24"/>
          <w:vertAlign w:val="superscript"/>
        </w:rPr>
        <w:t>-1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2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hint="eastAsia" w:ascii="Times New Roman" w:cs="Times New Roman" w:hAnsiTheme="minorEastAsia"/>
          <w:sz w:val="24"/>
        </w:rPr>
        <w:t>。它</w:t>
      </w:r>
      <w:r>
        <w:rPr>
          <w:rFonts w:ascii="Times New Roman" w:cs="Times New Roman" w:hAnsiTheme="minorEastAsia"/>
          <w:sz w:val="24"/>
        </w:rPr>
        <w:t>的升高可用于中</w:t>
      </w: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cs="Times New Roman" w:hAnsiTheme="minorEastAsia"/>
          <w:sz w:val="24"/>
        </w:rPr>
        <w:t>重度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（</w:t>
      </w:r>
      <w:r>
        <w:rPr>
          <w:rFonts w:ascii="Times New Roman" w:hAnsi="Times New Roman" w:cs="Times New Roman"/>
          <w:sz w:val="24"/>
        </w:rPr>
        <w:t>KDIGO</w:t>
      </w:r>
      <w:r>
        <w:rPr>
          <w:rFonts w:ascii="Times New Roman" w:cs="Times New Roman" w:hAnsiTheme="minorEastAsia"/>
          <w:sz w:val="24"/>
        </w:rPr>
        <w:t>标准</w:t>
      </w:r>
      <w:r>
        <w:rPr>
          <w:rFonts w:ascii="Times New Roman" w:hAnsi="Times New Roman" w:cs="Times New Roman"/>
          <w:sz w:val="24"/>
        </w:rPr>
        <w:t>2-3</w:t>
      </w:r>
      <w:r>
        <w:rPr>
          <w:rFonts w:ascii="Times New Roman" w:cs="Times New Roman" w:hAnsiTheme="minorEastAsia"/>
          <w:sz w:val="24"/>
        </w:rPr>
        <w:t>期）的预测</w:t>
      </w:r>
      <w:r>
        <w:rPr>
          <w:rFonts w:ascii="Times New Roman" w:hAnsi="Times New Roman" w:cs="Times New Roman"/>
          <w:sz w:val="24"/>
          <w:vertAlign w:val="superscript"/>
        </w:rPr>
        <w:t>[1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3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。王恒进等</w:t>
      </w:r>
      <w:r>
        <w:rPr>
          <w:rFonts w:ascii="Times New Roman" w:hAnsi="Times New Roman" w:cs="Times New Roman"/>
          <w:sz w:val="24"/>
          <w:vertAlign w:val="superscript"/>
        </w:rPr>
        <w:t>[1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4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对成人心脏术后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的研究显示，术后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</w:t>
      </w:r>
      <w:r>
        <w:rPr>
          <w:rFonts w:ascii="Times New Roman" w:hAnsi="Times New Roman" w:cs="Times New Roman"/>
          <w:sz w:val="24"/>
        </w:rPr>
        <w:t>2h</w:t>
      </w:r>
      <w:r>
        <w:rPr>
          <w:rFonts w:ascii="Times New Roman" w:cs="Times New Roman" w:hAnsiTheme="minorEastAsia"/>
          <w:sz w:val="24"/>
        </w:rPr>
        <w:t>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开始升高，</w:t>
      </w:r>
      <w:r>
        <w:rPr>
          <w:rFonts w:ascii="Times New Roman" w:hAnsi="Times New Roman" w:cs="Times New Roman"/>
          <w:sz w:val="24"/>
        </w:rPr>
        <w:t>12h-24h</w:t>
      </w:r>
      <w:r>
        <w:rPr>
          <w:rFonts w:ascii="Times New Roman" w:cs="Times New Roman" w:hAnsiTheme="minorEastAsia"/>
          <w:sz w:val="24"/>
        </w:rPr>
        <w:t>达高峰，非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无明显变化。本研究显示：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在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组较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组及正常组明显升高，差异有统计学意义，</w:t>
      </w:r>
      <w:r>
        <w:rPr>
          <w:rFonts w:ascii="Times New Roman" w:hAnsi="Times New Roman" w:cs="Times New Roman"/>
          <w:sz w:val="24"/>
        </w:rPr>
        <w:t>CKD</w:t>
      </w:r>
      <w:r>
        <w:rPr>
          <w:rFonts w:ascii="Times New Roman" w:cs="Times New Roman" w:hAnsiTheme="minorEastAsia"/>
          <w:sz w:val="24"/>
        </w:rPr>
        <w:t>组与正常组相比稍升高，差异无统计学意义，说明尿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可能与肾损伤的急性化过程有关，在鉴别早期急性肾损伤和慢性肾脏病具有重要意义。且根据诊断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</w:t>
      </w:r>
      <w:r>
        <w:rPr>
          <w:rFonts w:ascii="Times New Roman" w:hAnsi="Times New Roman" w:cs="Times New Roman"/>
          <w:sz w:val="24"/>
        </w:rPr>
        <w:t>AUC</w:t>
      </w:r>
      <w:r>
        <w:rPr>
          <w:rFonts w:ascii="Times New Roman" w:cs="Times New Roman" w:hAnsiTheme="minorEastAsia"/>
          <w:sz w:val="24"/>
        </w:rPr>
        <w:t>可知，尿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对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的诊断价值较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高。</w:t>
      </w:r>
      <w:r>
        <w:rPr>
          <w:rFonts w:hint="eastAsia" w:ascii="Times New Roman" w:cs="Times New Roman" w:hAnsiTheme="minorEastAsia"/>
          <w:sz w:val="24"/>
        </w:rPr>
        <w:t>本</w:t>
      </w:r>
      <w:r>
        <w:rPr>
          <w:rFonts w:ascii="Times New Roman" w:cs="Times New Roman" w:hAnsiTheme="minorEastAsia"/>
          <w:sz w:val="24"/>
        </w:rPr>
        <w:t>研究进一步</w:t>
      </w:r>
      <w:r>
        <w:rPr>
          <w:rFonts w:hint="eastAsia" w:ascii="Times New Roman" w:cs="Times New Roman" w:hAnsiTheme="minorEastAsia"/>
          <w:sz w:val="24"/>
        </w:rPr>
        <w:t>探讨了不同时期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患者尿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hint="eastAsia" w:ascii="Times New Roman" w:cs="Times New Roman" w:hAnsiTheme="minorEastAsia"/>
          <w:sz w:val="24"/>
        </w:rPr>
        <w:t>表达的差异性，</w:t>
      </w:r>
      <w:r>
        <w:rPr>
          <w:rFonts w:ascii="Times New Roman" w:cs="Times New Roman" w:hAnsiTheme="minorEastAsia"/>
          <w:sz w:val="24"/>
        </w:rPr>
        <w:t>说明随着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疾病程度加重，尿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水平逐渐升高。</w:t>
      </w:r>
    </w:p>
    <w:p>
      <w:pPr>
        <w:spacing w:line="360" w:lineRule="auto"/>
        <w:ind w:firstLine="480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Cys C</w:t>
      </w:r>
      <w:r>
        <w:rPr>
          <w:rFonts w:ascii="Times New Roman" w:cs="Times New Roman" w:hAnsiTheme="minorEastAsia"/>
          <w:sz w:val="24"/>
        </w:rPr>
        <w:t>是半胱氨酸蛋白酶抑制物超家族中的成员之一，分子量约</w:t>
      </w:r>
      <w:r>
        <w:rPr>
          <w:rFonts w:ascii="Times New Roman" w:hAnsi="Times New Roman" w:cs="Times New Roman"/>
          <w:sz w:val="24"/>
        </w:rPr>
        <w:t>13.3 kDa</w:t>
      </w:r>
      <w:r>
        <w:rPr>
          <w:rFonts w:ascii="Times New Roman" w:cs="Times New Roman" w:hAnsiTheme="minorEastAsia"/>
          <w:sz w:val="24"/>
        </w:rPr>
        <w:t>，产生率恒定，不易受性别、年龄、肌肉质量、肝脏疾病、炎症性疾病的影响。</w:t>
      </w:r>
      <w:r>
        <w:rPr>
          <w:rFonts w:ascii="Times New Roman" w:hAnsi="Times New Roman" w:cs="Times New Roman"/>
          <w:sz w:val="24"/>
        </w:rPr>
        <w:t>CysC</w:t>
      </w:r>
      <w:r>
        <w:rPr>
          <w:rFonts w:ascii="Times New Roman" w:cs="Times New Roman" w:hAnsiTheme="minorEastAsia"/>
          <w:sz w:val="24"/>
        </w:rPr>
        <w:t>经肾小球自由滤过，在肾小管全部被吸收并于细胞内降解，肾脏是唯一清除循环中</w:t>
      </w:r>
      <w:r>
        <w:rPr>
          <w:rFonts w:ascii="Times New Roman" w:hAnsi="Times New Roman" w:cs="Times New Roman"/>
          <w:sz w:val="24"/>
        </w:rPr>
        <w:t>Cys C</w:t>
      </w:r>
      <w:r>
        <w:rPr>
          <w:rFonts w:ascii="Times New Roman" w:cs="Times New Roman" w:hAnsiTheme="minorEastAsia"/>
          <w:sz w:val="24"/>
        </w:rPr>
        <w:t>的脏器</w:t>
      </w:r>
      <w:r>
        <w:rPr>
          <w:rFonts w:ascii="Times New Roman" w:hAnsi="Times New Roman" w:cs="Times New Roman"/>
          <w:sz w:val="24"/>
          <w:vertAlign w:val="superscript"/>
        </w:rPr>
        <w:t>[1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5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。有研究报道，在轻微肾损伤时，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比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提前</w:t>
      </w:r>
      <w:r>
        <w:rPr>
          <w:rFonts w:ascii="Times New Roman" w:hAnsi="Times New Roman" w:cs="Times New Roman"/>
          <w:sz w:val="24"/>
        </w:rPr>
        <w:t>1</w:t>
      </w:r>
      <w:r>
        <w:rPr>
          <w:rFonts w:ascii="Times New Roman" w:cs="Times New Roman" w:hAnsiTheme="minorEastAsia"/>
          <w:sz w:val="24"/>
        </w:rPr>
        <w:t>～</w:t>
      </w:r>
      <w:r>
        <w:rPr>
          <w:rFonts w:ascii="Times New Roman" w:hAnsi="Times New Roman" w:cs="Times New Roman"/>
          <w:sz w:val="24"/>
        </w:rPr>
        <w:t>2 d</w:t>
      </w:r>
      <w:r>
        <w:rPr>
          <w:rFonts w:ascii="Times New Roman" w:cs="Times New Roman" w:hAnsiTheme="minorEastAsia"/>
          <w:sz w:val="24"/>
        </w:rPr>
        <w:t>开始升高，并随着病情的加重而逐渐增高</w:t>
      </w:r>
      <w:r>
        <w:rPr>
          <w:rFonts w:ascii="Times New Roman" w:hAnsi="Times New Roman" w:cs="Times New Roman"/>
          <w:sz w:val="24"/>
          <w:vertAlign w:val="superscript"/>
        </w:rPr>
        <w:t>[1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6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。</w:t>
      </w:r>
      <w:r>
        <w:rPr>
          <w:rFonts w:ascii="Times New Roman" w:hAnsi="Times New Roman" w:cs="Times New Roman"/>
          <w:sz w:val="24"/>
        </w:rPr>
        <w:t>sCysC</w:t>
      </w:r>
      <w:r>
        <w:rPr>
          <w:rFonts w:ascii="Times New Roman" w:cs="Times New Roman" w:hAnsiTheme="minorEastAsia"/>
          <w:sz w:val="24"/>
        </w:rPr>
        <w:t>反映短时间内肾小球滤过率下降比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更敏感，较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更早</w:t>
      </w:r>
      <w:r>
        <w:rPr>
          <w:rFonts w:hint="eastAsia" w:ascii="Times New Roman" w:cs="Times New Roman" w:hAnsiTheme="minorEastAsia"/>
          <w:sz w:val="24"/>
          <w:lang w:val="en-US" w:eastAsia="zh-CN"/>
        </w:rPr>
        <w:t>发现</w:t>
      </w:r>
      <w:r>
        <w:rPr>
          <w:rFonts w:ascii="Times New Roman" w:hAnsi="Times New Roman" w:cs="Times New Roman"/>
          <w:sz w:val="24"/>
        </w:rPr>
        <w:t>AKI</w:t>
      </w:r>
      <w:r>
        <w:rPr>
          <w:rFonts w:hint="eastAsia" w:ascii="Times New Roman" w:hAnsi="Times New Roman" w:cs="Times New Roman"/>
          <w:sz w:val="24"/>
          <w:lang w:eastAsia="zh-CN"/>
        </w:rPr>
        <w:t>，</w:t>
      </w:r>
      <w:r>
        <w:rPr>
          <w:rFonts w:ascii="Times New Roman" w:cs="Times New Roman" w:hAnsiTheme="minorEastAsia"/>
          <w:sz w:val="24"/>
        </w:rPr>
        <w:t>并且在诊断的准确性上也更高</w:t>
      </w:r>
      <w:r>
        <w:rPr>
          <w:rFonts w:ascii="Times New Roman" w:hAnsi="Times New Roman" w:cs="Times New Roman"/>
          <w:sz w:val="24"/>
          <w:vertAlign w:val="superscript"/>
        </w:rPr>
        <w:t>[1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7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。国内外动物实验及临床试验已经证明：胱抑素</w:t>
      </w: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cs="Times New Roman" w:hAnsiTheme="minorEastAsia"/>
          <w:sz w:val="24"/>
        </w:rPr>
        <w:t>是早期用于鉴别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的一种较好的指标，优于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水平</w:t>
      </w:r>
      <w:r>
        <w:rPr>
          <w:rFonts w:ascii="Times New Roman" w:hAnsi="Times New Roman" w:cs="Times New Roman"/>
          <w:sz w:val="24"/>
          <w:vertAlign w:val="superscript"/>
        </w:rPr>
        <w:t>[1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8</w:t>
      </w:r>
      <w:r>
        <w:rPr>
          <w:rFonts w:ascii="Times New Roman" w:hAnsi="Times New Roman" w:cs="Times New Roman"/>
          <w:sz w:val="24"/>
          <w:vertAlign w:val="superscript"/>
        </w:rPr>
        <w:t>-</w:t>
      </w:r>
      <w:r>
        <w:rPr>
          <w:rFonts w:hint="eastAsia" w:ascii="Times New Roman" w:hAnsi="Times New Roman" w:cs="Times New Roman"/>
          <w:sz w:val="24"/>
          <w:vertAlign w:val="superscript"/>
          <w:lang w:val="en-US" w:eastAsia="zh-CN"/>
        </w:rPr>
        <w:t>19</w:t>
      </w:r>
      <w:r>
        <w:rPr>
          <w:rFonts w:ascii="Times New Roman" w:hAnsi="Times New Roman" w:cs="Times New Roman"/>
          <w:sz w:val="24"/>
          <w:vertAlign w:val="superscript"/>
        </w:rPr>
        <w:t>]</w:t>
      </w:r>
      <w:r>
        <w:rPr>
          <w:rFonts w:ascii="Times New Roman" w:cs="Times New Roman" w:hAnsiTheme="minorEastAsia"/>
          <w:sz w:val="24"/>
        </w:rPr>
        <w:t>。本研究证明胱抑素</w:t>
      </w: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cs="Times New Roman" w:hAnsiTheme="minorEastAsia"/>
          <w:sz w:val="24"/>
        </w:rPr>
        <w:t>仍然是诊断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的一个经典实验室指标。</w:t>
      </w:r>
      <w:r>
        <w:rPr>
          <w:rFonts w:ascii="Times New Roman" w:hAnsi="Times New Roman" w:cs="Times New Roman"/>
          <w:sz w:val="24"/>
        </w:rPr>
        <w:t xml:space="preserve">  </w:t>
      </w:r>
    </w:p>
    <w:p>
      <w:pPr>
        <w:spacing w:line="360" w:lineRule="auto"/>
        <w:ind w:firstLine="480"/>
        <w:jc w:val="left"/>
        <w:rPr>
          <w:rFonts w:hint="eastAsia" w:ascii="Times New Roman" w:cs="Times New Roman" w:hAnsiTheme="minorEastAsia"/>
          <w:sz w:val="24"/>
        </w:rPr>
      </w:pPr>
      <w:r>
        <w:rPr>
          <w:rFonts w:ascii="Times New Roman" w:cs="Times New Roman" w:hAnsiTheme="minorEastAsia"/>
          <w:sz w:val="24"/>
        </w:rPr>
        <w:t>本研究通过观察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患者尿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与</w:t>
      </w:r>
      <w:r>
        <w:rPr>
          <w:rFonts w:ascii="Times New Roman" w:hAnsi="Times New Roman" w:cs="Times New Roman"/>
          <w:sz w:val="24"/>
        </w:rPr>
        <w:t>Scys C</w:t>
      </w:r>
      <w:r>
        <w:rPr>
          <w:rFonts w:ascii="Times New Roman" w:cs="Times New Roman" w:hAnsiTheme="minorEastAsia"/>
          <w:sz w:val="24"/>
        </w:rPr>
        <w:t>和</w:t>
      </w:r>
      <w:r>
        <w:rPr>
          <w:rFonts w:ascii="Times New Roman" w:hAnsi="Times New Roman" w:cs="Times New Roman"/>
          <w:sz w:val="24"/>
        </w:rPr>
        <w:t>Scr</w:t>
      </w:r>
      <w:r>
        <w:rPr>
          <w:rFonts w:ascii="Times New Roman" w:cs="Times New Roman" w:hAnsiTheme="minorEastAsia"/>
          <w:sz w:val="24"/>
        </w:rPr>
        <w:t>之间的相关性研究，证实尿</w:t>
      </w:r>
      <w:r>
        <w:rPr>
          <w:rFonts w:ascii="Times New Roman" w:hAnsi="Times New Roman" w:cs="Times New Roman"/>
          <w:sz w:val="24"/>
        </w:rPr>
        <w:t>IGFBP7</w:t>
      </w:r>
      <w:r>
        <w:rPr>
          <w:rFonts w:ascii="Times New Roman" w:cs="Times New Roman" w:hAnsiTheme="minorEastAsia"/>
          <w:sz w:val="24"/>
        </w:rPr>
        <w:t>可以作为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的早期生物学标志物，为临床</w:t>
      </w:r>
      <w:r>
        <w:rPr>
          <w:rFonts w:ascii="Times New Roman" w:hAnsi="Times New Roman" w:cs="Times New Roman"/>
          <w:sz w:val="24"/>
        </w:rPr>
        <w:t>AKI</w:t>
      </w:r>
      <w:r>
        <w:rPr>
          <w:rFonts w:ascii="Times New Roman" w:cs="Times New Roman" w:hAnsiTheme="minorEastAsia"/>
          <w:sz w:val="24"/>
        </w:rPr>
        <w:t>的早期诊断和及时干预提供了重要的诊断依据。</w:t>
      </w:r>
    </w:p>
    <w:p>
      <w:pPr>
        <w:spacing w:line="360" w:lineRule="auto"/>
        <w:jc w:val="left"/>
        <w:rPr>
          <w:rFonts w:hint="eastAsia" w:ascii="Times New Roman" w:cs="Times New Roman" w:hAnsiTheme="minorEastAsia"/>
          <w:sz w:val="24"/>
        </w:rPr>
      </w:pPr>
      <w:r>
        <w:rPr>
          <w:rFonts w:hint="eastAsia" w:ascii="Times New Roman" w:cs="Times New Roman" w:hAnsiTheme="minorEastAsia"/>
          <w:sz w:val="24"/>
        </w:rPr>
        <w:t>参考文献：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</w:t>
      </w:r>
      <w:r>
        <w:rPr>
          <w:rFonts w:hint="default" w:ascii="Times New Roman" w:hAnsi="Times New Roman" w:cs="Times New Roman"/>
          <w:color w:val="auto"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]Haugk K L, Wilson H M.Insulin-like Growth Factor(IGF)Binding Protein-related Protein-1 :an autocrineparacrine factor that inhibits skeletal myoblast differentiation but permits proliferation in response to IGF.Endocrinology, 2000, 141(1):100-110.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79" w:beforeAutospacing="0" w:after="79" w:afterAutospacing="0" w:line="360" w:lineRule="auto"/>
        <w:ind w:left="0" w:right="0" w:firstLine="0"/>
        <w:jc w:val="left"/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[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]Lopez-Bermejo A，Khosravi J，Fernandez-Real JM，et a.Insulin resistance is associated with increased serum concentration of IGF-binding protein-related protein I(IGFBP-rpl／MAC25).Diabetes, 2006, 55(8):2333-2339.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79" w:beforeAutospacing="0" w:after="79" w:afterAutospacing="0" w:line="360" w:lineRule="auto"/>
        <w:ind w:left="0" w:right="0" w:firstLine="0"/>
        <w:jc w:val="left"/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[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 xml:space="preserve">] 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Peng ZY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Zhou F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Kellum JA.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</w:rPr>
        <w:t>Cross-species validation of cell cycle arrest markers for acute kidney injury in the rat during sepsis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[J]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</w:rPr>
        <w:t>.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Intensive Care Med Exp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>2016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>,4（1）:12.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79" w:beforeAutospacing="0" w:after="79" w:afterAutospacing="0" w:line="360" w:lineRule="auto"/>
        <w:ind w:left="0" w:right="0" w:firstLine="0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[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]Aydoğdu M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,Boyacl N,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 xml:space="preserve">Yüksel 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S.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</w:rPr>
        <w:t>A promising marker in early diagnosis of septic acute kidney injury of critically ill patients: urine insulin like growth factor binding protein-7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[J]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</w:rPr>
        <w:t>.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1"/>
          <w:szCs w:val="21"/>
        </w:rPr>
        <w:t>Scand J Clin Lab Invest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1"/>
          <w:szCs w:val="21"/>
          <w:lang w:val="en-US" w:eastAsia="zh-CN"/>
        </w:rPr>
        <w:t>,2016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 May 31</w:t>
      </w:r>
      <w:r>
        <w:rPr>
          <w:rFonts w:hint="default" w:ascii="Times New Roman" w:hAnsi="Times New Roman" w:eastAsia="宋体" w:cs="Times New Roman"/>
          <w:b w:val="0"/>
          <w:i w:val="0"/>
          <w:caps w:val="0"/>
          <w:color w:val="000000"/>
          <w:spacing w:val="0"/>
          <w:sz w:val="21"/>
          <w:szCs w:val="21"/>
          <w:lang w:val="en-US" w:eastAsia="zh-CN"/>
        </w:rPr>
        <w:t>:1-9.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</w:t>
      </w:r>
      <w:r>
        <w:rPr>
          <w:rFonts w:hint="default" w:ascii="Times New Roman" w:hAnsi="Times New Roman" w:cs="Times New Roman"/>
          <w:color w:val="auto"/>
          <w:sz w:val="21"/>
          <w:szCs w:val="21"/>
          <w:lang w:val="en-US" w:eastAsia="zh-CN"/>
        </w:rPr>
        <w:t>5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]Khwaja A.KDIGO clinical practice guidelines for acute kidney injury.Nephron Clinical Practice, 2012, 120(4):c179-c184.</w:t>
      </w:r>
    </w:p>
    <w:p>
      <w:pPr>
        <w:spacing w:beforeLines="0" w:afterLines="0"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</w:t>
      </w:r>
      <w:r>
        <w:rPr>
          <w:rFonts w:hint="default" w:ascii="Times New Roman" w:hAnsi="Times New Roman" w:cs="Times New Roman"/>
          <w:color w:val="auto"/>
          <w:sz w:val="21"/>
          <w:szCs w:val="21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</w:t>
      </w:r>
      <w:r>
        <w:rPr>
          <w:rFonts w:hint="default" w:ascii="Times New Roman" w:hAnsi="Times New Roman" w:eastAsia="E-BZ+ZHZJeb-3" w:cs="Times New Roman"/>
          <w:sz w:val="21"/>
          <w:szCs w:val="21"/>
        </w:rPr>
        <w:t>Levey AS</w:t>
      </w:r>
      <w:r>
        <w:rPr>
          <w:rFonts w:hint="default" w:ascii="Times New Roman" w:hAnsi="Times New Roman" w:eastAsia="AdobeHeitiStd-Regular" w:cs="Times New Roman"/>
          <w:sz w:val="21"/>
          <w:szCs w:val="21"/>
        </w:rPr>
        <w:t>，</w:t>
      </w:r>
      <w:r>
        <w:rPr>
          <w:rFonts w:hint="default" w:ascii="Times New Roman" w:hAnsi="Times New Roman" w:eastAsia="E-BZ+ZHZJeb-3" w:cs="Times New Roman"/>
          <w:sz w:val="21"/>
          <w:szCs w:val="21"/>
        </w:rPr>
        <w:t>Coresh J．Chronic kidney disease</w:t>
      </w:r>
      <w:r>
        <w:rPr>
          <w:rFonts w:hint="default" w:ascii="Times New Roman" w:hAnsi="Times New Roman" w:eastAsia="AdobeHeitiStd-Regular" w:cs="Times New Roman"/>
          <w:sz w:val="21"/>
          <w:szCs w:val="21"/>
        </w:rPr>
        <w:t>［</w:t>
      </w:r>
      <w:r>
        <w:rPr>
          <w:rFonts w:hint="default" w:ascii="Times New Roman" w:hAnsi="Times New Roman" w:eastAsia="E-BZ+ZHZJeb-3" w:cs="Times New Roman"/>
          <w:sz w:val="21"/>
          <w:szCs w:val="21"/>
        </w:rPr>
        <w:t>J</w:t>
      </w:r>
      <w:r>
        <w:rPr>
          <w:rFonts w:hint="default" w:ascii="Times New Roman" w:hAnsi="Times New Roman" w:eastAsia="AdobeHeitiStd-Regular" w:cs="Times New Roman"/>
          <w:sz w:val="21"/>
          <w:szCs w:val="21"/>
        </w:rPr>
        <w:t>］</w:t>
      </w:r>
      <w:r>
        <w:rPr>
          <w:rFonts w:hint="default" w:ascii="Times New Roman" w:hAnsi="Times New Roman" w:eastAsia="E-BZ+ZHZJeb-3" w:cs="Times New Roman"/>
          <w:sz w:val="21"/>
          <w:szCs w:val="21"/>
        </w:rPr>
        <w:t>．Lancet</w:t>
      </w:r>
      <w:r>
        <w:rPr>
          <w:rFonts w:hint="default" w:ascii="Times New Roman" w:hAnsi="Times New Roman" w:eastAsia="AdobeHeitiStd-Regular" w:cs="Times New Roman"/>
          <w:sz w:val="21"/>
          <w:szCs w:val="21"/>
        </w:rPr>
        <w:t>，</w:t>
      </w:r>
      <w:r>
        <w:rPr>
          <w:rFonts w:hint="default" w:ascii="Times New Roman" w:hAnsi="Times New Roman" w:eastAsia="E-BZ+ZHZJeb-3" w:cs="Times New Roman"/>
          <w:sz w:val="21"/>
          <w:szCs w:val="21"/>
        </w:rPr>
        <w:t>2012</w:t>
      </w:r>
      <w:r>
        <w:rPr>
          <w:rFonts w:hint="default" w:ascii="Times New Roman" w:hAnsi="Times New Roman" w:eastAsia="AdobeHeitiStd-Regular" w:cs="Times New Roman"/>
          <w:sz w:val="21"/>
          <w:szCs w:val="21"/>
        </w:rPr>
        <w:t>，</w:t>
      </w:r>
      <w:r>
        <w:rPr>
          <w:rFonts w:hint="default" w:ascii="Times New Roman" w:hAnsi="Times New Roman" w:eastAsia="E-BZ+ZHZJeb-3" w:cs="Times New Roman"/>
          <w:sz w:val="21"/>
          <w:szCs w:val="21"/>
        </w:rPr>
        <w:t>379</w:t>
      </w:r>
      <w:r>
        <w:rPr>
          <w:rFonts w:hint="default" w:ascii="Times New Roman" w:hAnsi="Times New Roman" w:eastAsia="AdobeHeitiStd-Regular" w:cs="Times New Roman"/>
          <w:sz w:val="21"/>
          <w:szCs w:val="21"/>
        </w:rPr>
        <w:t>:</w:t>
      </w:r>
      <w:r>
        <w:rPr>
          <w:rFonts w:hint="default" w:ascii="Times New Roman" w:hAnsi="Times New Roman" w:eastAsia="E-BZ+ZHZJeb-3" w:cs="Times New Roman"/>
          <w:sz w:val="21"/>
          <w:szCs w:val="21"/>
        </w:rPr>
        <w:t xml:space="preserve">165 </w:t>
      </w:r>
      <w:r>
        <w:rPr>
          <w:rFonts w:hint="default" w:ascii="Times New Roman" w:hAnsi="Times New Roman" w:eastAsia="E-BZ+ZHZJeb-3" w:cs="Times New Roman"/>
          <w:sz w:val="21"/>
          <w:szCs w:val="21"/>
          <w:lang w:val="en-US" w:eastAsia="zh-CN"/>
        </w:rPr>
        <w:t>-</w:t>
      </w:r>
      <w:r>
        <w:rPr>
          <w:rFonts w:hint="default" w:ascii="Times New Roman" w:hAnsi="Times New Roman" w:eastAsia="E-BZ+ZHZJeb-3" w:cs="Times New Roman"/>
          <w:sz w:val="21"/>
          <w:szCs w:val="21"/>
        </w:rPr>
        <w:t>180.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]Swisshelm K, Ryan K, Tsuchiya K, et al.Enhanced expression of an insulin growth factor-like binding protein (mac25) in senescent human mammary epithelial cells and induced expression with retinoic acid.Proc Natl Acac Sci USA, 1995, 92(10):4472-4476.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8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]Degeorges A, Wang F, Frierson HF Jr, et al.Distribution of IGFBP-rP1 in normal human tissues.Histochem Cytochem, 2000, 48(6):747-754.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9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]Rodier F, Campisi J, Bhaumik D.Two faces of p53: aging and tumor suppression.Nucleic Acids Res, 2007, 35(22):7475-7484.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0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]Yang QH, Liu DW, Long Y, et al.Acute renal failure during sepsis: potential role of cell cycle regulation.Infect</w:t>
      </w:r>
      <w:r>
        <w:rPr>
          <w:rFonts w:hint="default" w:ascii="Times New Roman" w:hAnsi="Times New Roman" w:cs="Times New Roman"/>
          <w:color w:val="auto"/>
          <w:sz w:val="21"/>
          <w:szCs w:val="21"/>
          <w:lang w:val="en-US" w:eastAsia="zh-CN"/>
        </w:rPr>
        <w:t>,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2009</w:t>
      </w:r>
      <w:r>
        <w:rPr>
          <w:rFonts w:hint="default" w:ascii="Times New Roman" w:hAnsi="Times New Roman" w:cs="Times New Roman"/>
          <w:color w:val="auto"/>
          <w:sz w:val="21"/>
          <w:szCs w:val="21"/>
          <w:lang w:val="en-US" w:eastAsia="zh-CN"/>
        </w:rPr>
        <w:t>,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58(6):459-464.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79" w:beforeAutospacing="0" w:after="79" w:afterAutospacing="0" w:line="360" w:lineRule="auto"/>
        <w:ind w:left="0" w:right="0" w:firstLine="0"/>
        <w:jc w:val="left"/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]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Kellum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JA，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Chawla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LS.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</w:rPr>
        <w:t>Cell-cycle arrest and acute kidney injury: the light and the dark sides.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Nephrology Dialysis Transplantation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>,2016,31(1):16-22.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79" w:beforeAutospacing="0" w:after="79" w:afterAutospacing="0" w:line="360" w:lineRule="auto"/>
        <w:ind w:left="0" w:right="0" w:firstLine="0"/>
        <w:jc w:val="left"/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2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]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Clements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ME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eastAsia="zh-CN"/>
        </w:rPr>
        <w:t>，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Chaber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CJ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eastAsia="zh-CN"/>
        </w:rPr>
        <w:t>，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Ledbetter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S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R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eastAsia="zh-CN"/>
        </w:rPr>
        <w:t>，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Zuk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A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  <w:lang w:val="en-US" w:eastAsia="zh-CN"/>
        </w:rPr>
        <w:t>.</w:t>
      </w:r>
      <w:r>
        <w:rPr>
          <w:rFonts w:hint="default" w:ascii="Times New Roman" w:hAnsi="Times New Roman" w:cs="Times New Roman"/>
          <w:b w:val="0"/>
          <w:bCs/>
          <w:i w:val="0"/>
          <w:caps w:val="0"/>
          <w:color w:val="000000"/>
          <w:spacing w:val="0"/>
          <w:sz w:val="21"/>
          <w:szCs w:val="21"/>
          <w:shd w:val="clear" w:fill="FFFFFF"/>
        </w:rPr>
        <w:t>Increased cellular senescence and vascular rarefaction exacerbate the progression of kidney fibrosis in aged mice following transient ischemic injury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.</w:t>
      </w:r>
      <w:r>
        <w:rPr>
          <w:rFonts w:hint="default" w:ascii="Times New Roman" w:hAnsi="Times New Roman" w:eastAsia="宋体" w:cs="Times New Roman"/>
          <w:b w:val="0"/>
          <w:bCs/>
          <w:i w:val="0"/>
          <w:caps w:val="0"/>
          <w:color w:val="000000"/>
          <w:spacing w:val="0"/>
          <w:sz w:val="21"/>
          <w:szCs w:val="21"/>
        </w:rPr>
        <w:t>PLoS ONE</w:t>
      </w:r>
      <w:r>
        <w:rPr>
          <w:rFonts w:hint="default" w:ascii="Times New Roman" w:hAnsi="Times New Roman" w:eastAsia="宋体" w:cs="Times New Roman"/>
          <w:b w:val="0"/>
          <w:bCs/>
          <w:color w:val="auto"/>
          <w:sz w:val="21"/>
          <w:szCs w:val="21"/>
          <w:lang w:val="en-US" w:eastAsia="zh-CN"/>
        </w:rPr>
        <w:t>,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20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13,8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(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8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):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1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-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  <w:lang w:val="en-US" w:eastAsia="zh-CN"/>
        </w:rPr>
        <w:t>14</w:t>
      </w:r>
      <w:r>
        <w:rPr>
          <w:rFonts w:hint="default" w:ascii="Times New Roman" w:hAnsi="Times New Roman" w:cs="Times New Roman"/>
          <w:b w:val="0"/>
          <w:bCs/>
          <w:color w:val="auto"/>
          <w:sz w:val="21"/>
          <w:szCs w:val="21"/>
        </w:rPr>
        <w:t>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3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]Kashani K，Al-Khafaji A，et al.Discovery and validation of cell cycle arrest biomarkers in human acute kidney injury.Kidney Int, 2014, 85(4):909-919.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4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]王恒进，李楠等.多项生物学标志物联合检测对心脏术后急性肾损伤早期诊断的价值.中国医药, 2015, 10(11):1613-1617.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5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]Uslu S，Efe B，Alata s O，Kebapei N，et a.Serum cystatin C and urinary enzymes as screening markers of renal dysfunction in diabetic pafients.J Nephrol, 2005, 18(5):559-567.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]Figueira RC，Braga DP，Nichi M，et a.Poor ovarian response in patients younger Than 35 years：is it also a qualitative decIine in ovarian function？.Hum Fertil(Camb), 2009, 12(3):160-165.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]Jayaprakasan K，Al-Hasie H，Jayaprakasan R，et a.The three-dimensional ultrasonographic ovarian vascularity of women developing poor ovarian response during assisted reproduction treatment and its predictive value.Fertil Steril, 2009, 92(6):1862-1869.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[1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8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 Su Song，MarkoMeye，Tobias RTurk，et a1．．.Serum cystatin C in mouse models：a reliable and precise marker for renal function and superior to serum creatinine[J].Nephrol Dial Transplant, 2009, 24(4):1157-1161.</w:t>
      </w: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  <w:r>
        <w:rPr>
          <w:rFonts w:hint="default" w:ascii="Times New Roman" w:hAnsi="Times New Roman" w:cs="Times New Roman"/>
          <w:color w:val="auto"/>
          <w:sz w:val="21"/>
          <w:szCs w:val="21"/>
        </w:rPr>
        <w:t>[</w:t>
      </w:r>
      <w:r>
        <w:rPr>
          <w:rFonts w:hint="eastAsia" w:ascii="Times New Roman" w:hAnsi="Times New Roman" w:cs="Times New Roman"/>
          <w:color w:val="auto"/>
          <w:sz w:val="21"/>
          <w:szCs w:val="21"/>
          <w:lang w:val="en-US" w:eastAsia="zh-CN"/>
        </w:rPr>
        <w:t>19</w:t>
      </w:r>
      <w:r>
        <w:rPr>
          <w:rFonts w:hint="default" w:ascii="Times New Roman" w:hAnsi="Times New Roman" w:cs="Times New Roman"/>
          <w:color w:val="auto"/>
          <w:sz w:val="21"/>
          <w:szCs w:val="21"/>
        </w:rPr>
        <w:t>] Yung YJ，Lee HR，Kwon OJ．.Comparison of serum eystatin C and creatinine as a marker for early detection of decreasing glomemlar filtration rate in renal transplants[J].J Korean Surg Soc, 2012, 83(2):69-74.</w:t>
      </w:r>
    </w:p>
    <w:p>
      <w:pPr>
        <w:spacing w:line="360" w:lineRule="auto"/>
        <w:rPr>
          <w:rFonts w:hint="default" w:ascii="Times New Roman" w:hAnsi="Times New Roman" w:cs="Times New Roman"/>
          <w:sz w:val="21"/>
          <w:szCs w:val="21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color w:val="auto"/>
          <w:sz w:val="21"/>
          <w:szCs w:val="21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1"/>
          <w:szCs w:val="21"/>
        </w:rPr>
      </w:pPr>
    </w:p>
    <w:p>
      <w:pPr>
        <w:spacing w:line="360" w:lineRule="auto"/>
        <w:jc w:val="left"/>
        <w:rPr>
          <w:rFonts w:hint="default" w:ascii="Times New Roman" w:hAnsi="Times New Roman" w:cs="Times New Roman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DLF-1-99-2067677417+ZIXIre-1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DLF-1-99-1453815309+ZIXIrf-6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DLF-3-0-486033798+ZIXIre-2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DLF-32771-0-1775771233+ZIXIrf-3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Symbol02">
    <w:altName w:val="宋体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DLF-3-0-962929527 + ZIXIrh-26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DLF-32771-0-1566446277 + ZIXIrh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DLF-3-0-962929527+ZIXIrh-26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DLF-32771-0-1566446277+ZIXIrh-2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EU-BZ+ZBJBjH-2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书宋_GBK+ZBJBjH-1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方正黑体_GBK+ZFBCWU-7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楷体_GBK+ZFBCWT-3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EU-BZ+ZFBCWT-4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EU-BX+ZFBCWX-11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 Light">
    <w:panose1 w:val="020B0502040204020203"/>
    <w:charset w:val="86"/>
    <w:family w:val="auto"/>
    <w:pitch w:val="default"/>
    <w:sig w:usb0="A00002BF" w:usb1="28CF0010" w:usb2="00000016" w:usb3="00000000" w:csb0="0004000F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FZSSK--GBK1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Symbol01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E-BX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E-BZ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ZSSK--GBK1-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+ZGcH8i-1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EU-BZ+ZGcH8i-4">
    <w:altName w:val="MingLiU-ExtB"/>
    <w:panose1 w:val="00000000000000000000"/>
    <w:charset w:val="88"/>
    <w:family w:val="auto"/>
    <w:pitch w:val="default"/>
    <w:sig w:usb0="00000000" w:usb1="00000000" w:usb2="00000000" w:usb3="00000000" w:csb0="00100000" w:csb1="00000000"/>
  </w:font>
  <w:font w:name="MingLiU">
    <w:altName w:val="PMingLiU-ExtB"/>
    <w:panose1 w:val="02020509000000000000"/>
    <w:charset w:val="88"/>
    <w:family w:val="auto"/>
    <w:pitch w:val="default"/>
    <w:sig w:usb0="00000000" w:usb1="00000000" w:usb2="00000016" w:usb3="00000000" w:csb0="00100001" w:csb1="00000000"/>
  </w:font>
  <w:font w:name="Symbol0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BK_S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Symbol0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SJ-PK74820000024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XBSJ-PK7482000002a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DLF-1-99-1991250536 + ZIXIrf-8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DLF-3-0-962929527+ZIXIrh-26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dobeHeitiStd-Regular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DY3+ZDdIB3-3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DY162+ZDdICY-162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E-BZ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FZFSK--GBK1-0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E-BX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DY1+ZDdIB3-1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NEU-BZ-Regular">
    <w:altName w:val="Yu Mincho"/>
    <w:panose1 w:val="00000000000000000000"/>
    <w:charset w:val="80"/>
    <w:family w:val="auto"/>
    <w:pitch w:val="default"/>
    <w:sig w:usb0="00000000" w:usb1="00000000" w:usb2="00000000" w:usb3="00000000" w:csb0="00020000" w:csb1="00000000"/>
  </w:font>
  <w:font w:name="Yu Mincho">
    <w:panose1 w:val="02020400000000000000"/>
    <w:charset w:val="80"/>
    <w:family w:val="auto"/>
    <w:pitch w:val="default"/>
    <w:sig w:usb0="800002E7" w:usb1="2AC7FCF0" w:usb2="00000012" w:usb3="00000000" w:csb0="2002009F" w:csb1="00000000"/>
  </w:font>
  <w:font w:name="E-HZ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书宋_GBK+ZBJBjH-1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DLF-1-99-2067677417+ZIXIre-1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E-BZ+ZHZJeb-3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id="0">
    <w:p>
      <w:pPr>
        <w:pStyle w:val="6"/>
        <w:jc w:val="both"/>
        <w:rPr>
          <w:rFonts w:asciiTheme="minorEastAsia" w:hAnsiTheme="minorEastAsia" w:cstheme="minorEastAsia"/>
          <w:sz w:val="21"/>
          <w:szCs w:val="21"/>
        </w:rPr>
      </w:pPr>
      <w:r>
        <w:rPr>
          <w:rStyle w:val="10"/>
          <w:rFonts w:hint="eastAsia" w:asciiTheme="minorEastAsia" w:hAnsiTheme="minorEastAsia" w:cstheme="minorEastAsia"/>
          <w:sz w:val="21"/>
          <w:szCs w:val="21"/>
        </w:rPr>
        <w:footnoteRef/>
      </w:r>
      <w:r>
        <w:rPr>
          <w:rFonts w:hint="eastAsia" w:asciiTheme="minorEastAsia" w:hAnsiTheme="minorEastAsia" w:cstheme="minorEastAsia"/>
          <w:sz w:val="21"/>
          <w:szCs w:val="21"/>
        </w:rPr>
        <w:t>作者简介：赵登旺（1990），硕士在读，主要从事肾脏系统疾病研究</w:t>
      </w:r>
    </w:p>
    <w:p>
      <w:pPr>
        <w:pStyle w:val="6"/>
        <w:jc w:val="both"/>
        <w:rPr>
          <w:rFonts w:asciiTheme="minorEastAsia" w:hAnsiTheme="minorEastAsia" w:cstheme="minorEastAsia"/>
          <w:sz w:val="21"/>
          <w:szCs w:val="21"/>
        </w:rPr>
      </w:pPr>
      <w:r>
        <w:rPr>
          <w:rFonts w:hint="eastAsia" w:asciiTheme="minorEastAsia" w:hAnsiTheme="minorEastAsia" w:cstheme="minorEastAsia"/>
          <w:sz w:val="21"/>
          <w:szCs w:val="21"/>
        </w:rPr>
        <w:t>作者单位：1新疆石河子大学医学院；2新疆石河子大学医学院第一附属医院肾病科</w:t>
      </w:r>
    </w:p>
    <w:p>
      <w:pPr>
        <w:spacing w:line="280" w:lineRule="exact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  <w:vertAlign w:val="superscript"/>
        </w:rPr>
        <w:t>△</w:t>
      </w:r>
      <w:r>
        <w:rPr>
          <w:rFonts w:hint="eastAsia" w:asciiTheme="minorEastAsia" w:hAnsiTheme="minorEastAsia" w:cstheme="minorEastAsia"/>
          <w:szCs w:val="21"/>
        </w:rPr>
        <w:t>通信作者：杨晓萍，E-mail：sbkyxp@163.com</w:t>
      </w:r>
    </w:p>
    <w:p>
      <w:pPr>
        <w:pStyle w:val="6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B669F"/>
    <w:multiLevelType w:val="singleLevel"/>
    <w:tmpl w:val="578B669F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172A27"/>
    <w:rsid w:val="00172A27"/>
    <w:rsid w:val="001C6088"/>
    <w:rsid w:val="002D6584"/>
    <w:rsid w:val="005017E4"/>
    <w:rsid w:val="00614ABB"/>
    <w:rsid w:val="0067491B"/>
    <w:rsid w:val="00874B82"/>
    <w:rsid w:val="009B50CC"/>
    <w:rsid w:val="00BE40D2"/>
    <w:rsid w:val="00C3404D"/>
    <w:rsid w:val="00E77580"/>
    <w:rsid w:val="00F56395"/>
    <w:rsid w:val="00FF5564"/>
    <w:rsid w:val="019B759D"/>
    <w:rsid w:val="025A039A"/>
    <w:rsid w:val="02666920"/>
    <w:rsid w:val="02826E35"/>
    <w:rsid w:val="031C41CA"/>
    <w:rsid w:val="04595513"/>
    <w:rsid w:val="045F0B2B"/>
    <w:rsid w:val="04D32D64"/>
    <w:rsid w:val="054C54EA"/>
    <w:rsid w:val="07742952"/>
    <w:rsid w:val="080D1120"/>
    <w:rsid w:val="08651180"/>
    <w:rsid w:val="089F121E"/>
    <w:rsid w:val="0B914695"/>
    <w:rsid w:val="0CB86A42"/>
    <w:rsid w:val="0CDB0C6D"/>
    <w:rsid w:val="0CF01A2A"/>
    <w:rsid w:val="0D93299A"/>
    <w:rsid w:val="0DD6209D"/>
    <w:rsid w:val="0DEE4975"/>
    <w:rsid w:val="0EBF33EE"/>
    <w:rsid w:val="0EFC482A"/>
    <w:rsid w:val="0F633C8A"/>
    <w:rsid w:val="0FFC6F97"/>
    <w:rsid w:val="10785402"/>
    <w:rsid w:val="112F47F5"/>
    <w:rsid w:val="11B14474"/>
    <w:rsid w:val="128C7B83"/>
    <w:rsid w:val="13555935"/>
    <w:rsid w:val="139230C8"/>
    <w:rsid w:val="13EF1099"/>
    <w:rsid w:val="141B2483"/>
    <w:rsid w:val="143533B2"/>
    <w:rsid w:val="14442723"/>
    <w:rsid w:val="147B616F"/>
    <w:rsid w:val="147D0715"/>
    <w:rsid w:val="148439C0"/>
    <w:rsid w:val="15073749"/>
    <w:rsid w:val="16393F68"/>
    <w:rsid w:val="16CF1543"/>
    <w:rsid w:val="184852E3"/>
    <w:rsid w:val="193D4ED5"/>
    <w:rsid w:val="19BC4C98"/>
    <w:rsid w:val="19C23870"/>
    <w:rsid w:val="1AC10254"/>
    <w:rsid w:val="1B213A8D"/>
    <w:rsid w:val="1B26045E"/>
    <w:rsid w:val="1B5F3732"/>
    <w:rsid w:val="1B6C7E63"/>
    <w:rsid w:val="1BB51E5E"/>
    <w:rsid w:val="1C784107"/>
    <w:rsid w:val="1CC71A05"/>
    <w:rsid w:val="1E847AFE"/>
    <w:rsid w:val="1EA65A57"/>
    <w:rsid w:val="1F646EF3"/>
    <w:rsid w:val="1F7058B4"/>
    <w:rsid w:val="1FA83FAD"/>
    <w:rsid w:val="20032579"/>
    <w:rsid w:val="203911E2"/>
    <w:rsid w:val="21D36B78"/>
    <w:rsid w:val="228D622E"/>
    <w:rsid w:val="229B4CD0"/>
    <w:rsid w:val="229C086A"/>
    <w:rsid w:val="236C6F90"/>
    <w:rsid w:val="23770E96"/>
    <w:rsid w:val="237D15DF"/>
    <w:rsid w:val="2416352F"/>
    <w:rsid w:val="24242382"/>
    <w:rsid w:val="243171D3"/>
    <w:rsid w:val="244C74AF"/>
    <w:rsid w:val="247E6443"/>
    <w:rsid w:val="250B1079"/>
    <w:rsid w:val="257D5EAC"/>
    <w:rsid w:val="25D32237"/>
    <w:rsid w:val="25D94F5A"/>
    <w:rsid w:val="25EA326C"/>
    <w:rsid w:val="271B3A0A"/>
    <w:rsid w:val="281B3458"/>
    <w:rsid w:val="285F2007"/>
    <w:rsid w:val="28B53876"/>
    <w:rsid w:val="297B2A93"/>
    <w:rsid w:val="2B4930F7"/>
    <w:rsid w:val="2C0251F9"/>
    <w:rsid w:val="2CBA4A0D"/>
    <w:rsid w:val="2CEB60A6"/>
    <w:rsid w:val="2D4F3230"/>
    <w:rsid w:val="2DB4243D"/>
    <w:rsid w:val="2E3E517A"/>
    <w:rsid w:val="2F6A3348"/>
    <w:rsid w:val="300D1C34"/>
    <w:rsid w:val="302E275C"/>
    <w:rsid w:val="3060363E"/>
    <w:rsid w:val="309A1838"/>
    <w:rsid w:val="3175239A"/>
    <w:rsid w:val="31911ACF"/>
    <w:rsid w:val="31BB7C0D"/>
    <w:rsid w:val="32541DF5"/>
    <w:rsid w:val="3265276B"/>
    <w:rsid w:val="337E40BA"/>
    <w:rsid w:val="35587EB9"/>
    <w:rsid w:val="364A5612"/>
    <w:rsid w:val="376B08A6"/>
    <w:rsid w:val="37854A3E"/>
    <w:rsid w:val="37F8446B"/>
    <w:rsid w:val="38082238"/>
    <w:rsid w:val="39523194"/>
    <w:rsid w:val="39C36CE9"/>
    <w:rsid w:val="3A172863"/>
    <w:rsid w:val="3AA14930"/>
    <w:rsid w:val="3B9816CB"/>
    <w:rsid w:val="3C2558DE"/>
    <w:rsid w:val="3C280724"/>
    <w:rsid w:val="3C3447FC"/>
    <w:rsid w:val="3C537740"/>
    <w:rsid w:val="3C971A69"/>
    <w:rsid w:val="3C9D1D3E"/>
    <w:rsid w:val="3D6B54E8"/>
    <w:rsid w:val="3DC02828"/>
    <w:rsid w:val="3E430B44"/>
    <w:rsid w:val="3EE82FE5"/>
    <w:rsid w:val="3FAD1B88"/>
    <w:rsid w:val="3FBA6D38"/>
    <w:rsid w:val="41200140"/>
    <w:rsid w:val="41673F45"/>
    <w:rsid w:val="41D4033D"/>
    <w:rsid w:val="41EE65F4"/>
    <w:rsid w:val="425C48F1"/>
    <w:rsid w:val="42A41E27"/>
    <w:rsid w:val="42AD2042"/>
    <w:rsid w:val="42B675ED"/>
    <w:rsid w:val="431C1F2C"/>
    <w:rsid w:val="43545786"/>
    <w:rsid w:val="440E727D"/>
    <w:rsid w:val="4458598F"/>
    <w:rsid w:val="44D15201"/>
    <w:rsid w:val="44D47582"/>
    <w:rsid w:val="453B78E3"/>
    <w:rsid w:val="460F2F9F"/>
    <w:rsid w:val="46FD5437"/>
    <w:rsid w:val="47FE3567"/>
    <w:rsid w:val="484C457F"/>
    <w:rsid w:val="48624661"/>
    <w:rsid w:val="49A91EB4"/>
    <w:rsid w:val="4A3066AA"/>
    <w:rsid w:val="4B510B1C"/>
    <w:rsid w:val="4B9964FE"/>
    <w:rsid w:val="4BB9177E"/>
    <w:rsid w:val="4BF73F28"/>
    <w:rsid w:val="4CE874B3"/>
    <w:rsid w:val="4CEB59FF"/>
    <w:rsid w:val="4D193C9A"/>
    <w:rsid w:val="4D4E07D9"/>
    <w:rsid w:val="4E3A723B"/>
    <w:rsid w:val="4F911900"/>
    <w:rsid w:val="50502426"/>
    <w:rsid w:val="50912967"/>
    <w:rsid w:val="50B779EB"/>
    <w:rsid w:val="52517DE0"/>
    <w:rsid w:val="52E77055"/>
    <w:rsid w:val="530C4750"/>
    <w:rsid w:val="53B8312F"/>
    <w:rsid w:val="551F328D"/>
    <w:rsid w:val="55404970"/>
    <w:rsid w:val="55412B40"/>
    <w:rsid w:val="57C8265B"/>
    <w:rsid w:val="5824719D"/>
    <w:rsid w:val="588A2268"/>
    <w:rsid w:val="5892613A"/>
    <w:rsid w:val="58CF17E7"/>
    <w:rsid w:val="5A734908"/>
    <w:rsid w:val="5A747918"/>
    <w:rsid w:val="5E0E75A0"/>
    <w:rsid w:val="5EDA247D"/>
    <w:rsid w:val="5FDA5D8A"/>
    <w:rsid w:val="615309CF"/>
    <w:rsid w:val="61727EAB"/>
    <w:rsid w:val="618C44F6"/>
    <w:rsid w:val="61B5739F"/>
    <w:rsid w:val="61F2014D"/>
    <w:rsid w:val="61FE617B"/>
    <w:rsid w:val="62883727"/>
    <w:rsid w:val="62E8365F"/>
    <w:rsid w:val="62FF2825"/>
    <w:rsid w:val="645963F9"/>
    <w:rsid w:val="666B303C"/>
    <w:rsid w:val="669B55F4"/>
    <w:rsid w:val="67F065FF"/>
    <w:rsid w:val="681C269D"/>
    <w:rsid w:val="68E376B6"/>
    <w:rsid w:val="68EB1F92"/>
    <w:rsid w:val="69EC4E47"/>
    <w:rsid w:val="6A463243"/>
    <w:rsid w:val="6A473C09"/>
    <w:rsid w:val="6A7D0130"/>
    <w:rsid w:val="6C2D2705"/>
    <w:rsid w:val="6D043693"/>
    <w:rsid w:val="6D0957FD"/>
    <w:rsid w:val="6D1917F6"/>
    <w:rsid w:val="6DEB25EC"/>
    <w:rsid w:val="6E2A5686"/>
    <w:rsid w:val="6F4C6436"/>
    <w:rsid w:val="6FBD04C0"/>
    <w:rsid w:val="71067E32"/>
    <w:rsid w:val="7135212D"/>
    <w:rsid w:val="71D6488B"/>
    <w:rsid w:val="71DD699D"/>
    <w:rsid w:val="727F7C68"/>
    <w:rsid w:val="72803AB7"/>
    <w:rsid w:val="72B0557F"/>
    <w:rsid w:val="73801C66"/>
    <w:rsid w:val="739600CE"/>
    <w:rsid w:val="750205EE"/>
    <w:rsid w:val="778455A2"/>
    <w:rsid w:val="77D767D3"/>
    <w:rsid w:val="78812079"/>
    <w:rsid w:val="788F2536"/>
    <w:rsid w:val="78C47503"/>
    <w:rsid w:val="79B1437E"/>
    <w:rsid w:val="7A312D47"/>
    <w:rsid w:val="7A6A56DC"/>
    <w:rsid w:val="7B2A3198"/>
    <w:rsid w:val="7B2F7092"/>
    <w:rsid w:val="7BA54298"/>
    <w:rsid w:val="7C6D298C"/>
    <w:rsid w:val="7C73761A"/>
    <w:rsid w:val="7CFF471E"/>
    <w:rsid w:val="7D182CA6"/>
    <w:rsid w:val="7F594493"/>
    <w:rsid w:val="7FBE2EC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unhideWhenUsed/>
    <w:qFormat/>
    <w:uiPriority w:val="1"/>
  </w:style>
  <w:style w:type="table" w:default="1" w:styleId="11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qFormat/>
    <w:uiPriority w:val="0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0"/>
    <w:rPr>
      <w:sz w:val="24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styleId="10">
    <w:name w:val="footnote reference"/>
    <w:basedOn w:val="8"/>
    <w:qFormat/>
    <w:uiPriority w:val="0"/>
    <w:rPr>
      <w:vertAlign w:val="superscript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oleObject" Target="embeddings/oleObject3.bin"/><Relationship Id="rId7" Type="http://schemas.openxmlformats.org/officeDocument/2006/relationships/oleObject" Target="embeddings/oleObject2.bin"/><Relationship Id="rId6" Type="http://schemas.openxmlformats.org/officeDocument/2006/relationships/image" Target="media/image1.w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8</Pages>
  <Words>4016</Words>
  <Characters>9139</Characters>
  <Lines>67</Lines>
  <Paragraphs>19</Paragraphs>
  <ScaleCrop>false</ScaleCrop>
  <LinksUpToDate>false</LinksUpToDate>
  <CharactersWithSpaces>9852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zdw</dc:creator>
  <cp:lastModifiedBy>zdw</cp:lastModifiedBy>
  <dcterms:modified xsi:type="dcterms:W3CDTF">2016-11-10T15:43:19Z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