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right="-153" w:rightChars="-73"/>
        <w:rPr>
          <w:rFonts w:hint="eastAsia"/>
          <w:b/>
          <w:color w:val="000000"/>
          <w:sz w:val="24"/>
        </w:rPr>
      </w:pPr>
    </w:p>
    <w:p>
      <w:pPr>
        <w:ind w:right="-153" w:rightChars="-73"/>
        <w:rPr>
          <w:rFonts w:hint="eastAsia"/>
          <w:b/>
          <w:color w:val="000000"/>
          <w:sz w:val="24"/>
        </w:rPr>
      </w:pPr>
      <w:r>
        <w:rPr>
          <w:rFonts w:hint="eastAsia"/>
          <w:b/>
          <w:color w:val="000000"/>
          <w:sz w:val="24"/>
        </w:rPr>
        <w:t>孟鲁司特与激素吸入治疗对支气管哮喘患者中IL-12及microRNA-21表达的影响</w:t>
      </w:r>
    </w:p>
    <w:p>
      <w:pPr>
        <w:spacing w:line="360" w:lineRule="auto"/>
        <w:rPr>
          <w:rFonts w:hint="eastAsia"/>
          <w:bCs/>
          <w:color w:val="000000"/>
          <w:sz w:val="24"/>
        </w:rPr>
      </w:pPr>
      <w:r>
        <w:rPr>
          <w:rFonts w:hint="eastAsia"/>
          <w:bCs/>
          <w:color w:val="000000"/>
          <w:kern w:val="2"/>
        </w:rPr>
        <w:t xml:space="preserve">                </w:t>
      </w:r>
      <w:r>
        <w:rPr>
          <w:rFonts w:hint="eastAsia"/>
          <w:bCs/>
          <w:color w:val="000000"/>
          <w:sz w:val="24"/>
          <w:lang w:val="en-US" w:eastAsia="zh-CN"/>
        </w:rPr>
        <w:t xml:space="preserve">  </w:t>
      </w:r>
      <w:r>
        <w:rPr>
          <w:rFonts w:hint="eastAsia"/>
          <w:bCs/>
          <w:color w:val="000000"/>
          <w:sz w:val="24"/>
        </w:rPr>
        <w:t>宋艳</w:t>
      </w:r>
      <w:r>
        <w:rPr>
          <w:rFonts w:hint="eastAsia"/>
          <w:bCs/>
          <w:color w:val="000000"/>
          <w:sz w:val="24"/>
          <w:vertAlign w:val="superscript"/>
          <w:lang w:val="en-US" w:eastAsia="zh-CN"/>
        </w:rPr>
        <w:t>1,</w:t>
      </w:r>
      <w:r>
        <w:rPr>
          <w:rFonts w:hint="eastAsia"/>
          <w:bCs/>
          <w:color w:val="000000"/>
          <w:sz w:val="24"/>
          <w:lang w:val="en-US" w:eastAsia="zh-CN"/>
        </w:rPr>
        <w:t>黄钦蓉</w:t>
      </w:r>
      <w:r>
        <w:rPr>
          <w:rFonts w:hint="eastAsia"/>
          <w:bCs/>
          <w:color w:val="000000"/>
          <w:sz w:val="24"/>
          <w:vertAlign w:val="superscript"/>
          <w:lang w:val="en-US" w:eastAsia="zh-CN"/>
        </w:rPr>
        <w:t>2</w:t>
      </w:r>
    </w:p>
    <w:p>
      <w:pPr>
        <w:spacing w:line="360" w:lineRule="auto"/>
        <w:rPr>
          <w:rFonts w:hint="eastAsia"/>
          <w:bCs/>
          <w:color w:val="000000"/>
          <w:sz w:val="24"/>
        </w:rPr>
      </w:pPr>
      <w:r>
        <w:rPr>
          <w:rFonts w:hint="eastAsia"/>
          <w:bCs/>
          <w:color w:val="000000"/>
          <w:sz w:val="24"/>
          <w:lang w:val="en-US" w:eastAsia="zh-CN"/>
        </w:rPr>
        <w:t>(1:</w:t>
      </w:r>
      <w:r>
        <w:rPr>
          <w:rFonts w:hint="eastAsia"/>
          <w:bCs/>
          <w:color w:val="000000"/>
          <w:sz w:val="24"/>
          <w:lang w:eastAsia="zh-CN"/>
        </w:rPr>
        <w:t>四川省</w:t>
      </w:r>
      <w:r>
        <w:rPr>
          <w:rFonts w:hint="eastAsia"/>
          <w:bCs/>
          <w:color w:val="000000"/>
          <w:sz w:val="24"/>
        </w:rPr>
        <w:t>广元市疾病预防控制中心</w:t>
      </w:r>
      <w:r>
        <w:rPr>
          <w:rFonts w:ascii="Arial" w:hAnsi="Arial" w:eastAsia="宋体" w:cs="Arial"/>
          <w:b w:val="0"/>
          <w:i w:val="0"/>
          <w:caps w:val="0"/>
          <w:color w:val="000000"/>
          <w:spacing w:val="0"/>
          <w:sz w:val="21"/>
          <w:szCs w:val="21"/>
          <w:shd w:val="clear" w:color="auto" w:fill="FFFFFF"/>
        </w:rPr>
        <w:t>预防医学门诊部</w:t>
      </w:r>
      <w:r>
        <w:rPr>
          <w:rFonts w:hint="eastAsia"/>
          <w:bCs/>
          <w:color w:val="000000"/>
          <w:sz w:val="24"/>
          <w:lang w:eastAsia="zh-CN"/>
        </w:rPr>
        <w:t>，</w:t>
      </w:r>
      <w:r>
        <w:rPr>
          <w:rFonts w:hint="eastAsia"/>
          <w:bCs/>
          <w:color w:val="000000"/>
          <w:sz w:val="24"/>
        </w:rPr>
        <w:t>四川广元628017</w:t>
      </w:r>
      <w:r>
        <w:rPr>
          <w:rFonts w:hint="eastAsia"/>
          <w:bCs/>
          <w:color w:val="000000"/>
          <w:sz w:val="24"/>
          <w:lang w:val="en-US" w:eastAsia="zh-CN"/>
        </w:rPr>
        <w:t>;</w:t>
      </w:r>
    </w:p>
    <w:p>
      <w:pPr>
        <w:spacing w:line="360" w:lineRule="auto"/>
        <w:rPr>
          <w:rFonts w:hint="eastAsia"/>
          <w:bCs/>
          <w:color w:val="000000"/>
          <w:kern w:val="2"/>
        </w:rPr>
      </w:pPr>
      <w:r>
        <w:rPr>
          <w:rFonts w:hint="eastAsia"/>
          <w:bCs/>
          <w:color w:val="000000"/>
          <w:sz w:val="24"/>
          <w:lang w:val="en-US" w:eastAsia="zh-CN"/>
        </w:rPr>
        <w:t>2:</w:t>
      </w:r>
      <w:r>
        <w:rPr>
          <w:rFonts w:hint="eastAsia"/>
          <w:bCs/>
          <w:color w:val="000000"/>
          <w:sz w:val="24"/>
        </w:rPr>
        <w:t>广元市第一人民医院</w:t>
      </w:r>
      <w:r>
        <w:rPr>
          <w:rFonts w:hint="eastAsia"/>
          <w:bCs/>
          <w:color w:val="000000"/>
          <w:sz w:val="24"/>
          <w:lang w:eastAsia="zh-CN"/>
        </w:rPr>
        <w:t>呼吸内科，</w:t>
      </w:r>
      <w:r>
        <w:rPr>
          <w:rFonts w:hint="eastAsia"/>
          <w:bCs/>
          <w:color w:val="000000"/>
          <w:sz w:val="24"/>
        </w:rPr>
        <w:t>四川广元628017</w:t>
      </w:r>
      <w:r>
        <w:rPr>
          <w:rFonts w:hint="eastAsia"/>
          <w:bCs/>
          <w:color w:val="000000"/>
          <w:sz w:val="24"/>
          <w:lang w:eastAsia="zh-CN"/>
        </w:rPr>
        <w:t>）</w:t>
      </w:r>
    </w:p>
    <w:p>
      <w:pPr>
        <w:rPr>
          <w:rFonts w:hint="eastAsia"/>
          <w:bCs/>
          <w:color w:val="FF0000"/>
          <w:sz w:val="24"/>
        </w:rPr>
      </w:pPr>
      <w:r>
        <w:rPr>
          <w:b/>
          <w:bCs/>
          <w:color w:val="000000"/>
          <w:sz w:val="24"/>
        </w:rPr>
        <w:t>[摘要]目的</w:t>
      </w:r>
      <w:r>
        <w:rPr>
          <w:rFonts w:hint="eastAsia"/>
          <w:b/>
          <w:bCs/>
          <w:color w:val="000000"/>
          <w:sz w:val="24"/>
        </w:rPr>
        <w:t>：</w:t>
      </w:r>
      <w:r>
        <w:rPr>
          <w:rFonts w:hint="eastAsia"/>
          <w:bCs/>
          <w:color w:val="000000"/>
          <w:sz w:val="24"/>
        </w:rPr>
        <w:t>分析孟鲁司特与激素吸入治疗对支气管哮喘患者</w:t>
      </w:r>
      <w:r>
        <w:rPr>
          <w:rFonts w:hint="eastAsia"/>
          <w:bCs/>
          <w:color w:val="FF0000"/>
          <w:sz w:val="24"/>
        </w:rPr>
        <w:t>血清</w:t>
      </w:r>
      <w:r>
        <w:rPr>
          <w:rFonts w:hint="eastAsia"/>
          <w:bCs/>
          <w:color w:val="000000"/>
          <w:sz w:val="24"/>
        </w:rPr>
        <w:t>中IL-12及microRNA-21表达的影响</w:t>
      </w:r>
      <w:r>
        <w:rPr>
          <w:color w:val="000000"/>
          <w:sz w:val="24"/>
        </w:rPr>
        <w:t>。</w:t>
      </w:r>
      <w:r>
        <w:rPr>
          <w:b/>
          <w:bCs/>
          <w:color w:val="000000"/>
          <w:sz w:val="24"/>
        </w:rPr>
        <w:t>方法：</w:t>
      </w:r>
      <w:r>
        <w:rPr>
          <w:rFonts w:hint="eastAsia"/>
          <w:bCs/>
          <w:color w:val="000000"/>
          <w:sz w:val="24"/>
        </w:rPr>
        <w:t>回顾性分析我院2015年1月至2016年1月收治的108例支气管哮喘患者的临床资料，根据是否采取孟鲁司特与激素吸入治疗</w:t>
      </w:r>
      <w:r>
        <w:rPr>
          <w:rFonts w:hint="eastAsia"/>
          <w:bCs/>
          <w:color w:val="FF0000"/>
          <w:sz w:val="24"/>
        </w:rPr>
        <w:t>将支气管哮喘患者分成两组</w:t>
      </w:r>
      <w:r>
        <w:rPr>
          <w:rFonts w:hint="eastAsia"/>
          <w:bCs/>
          <w:color w:val="000000"/>
          <w:sz w:val="24"/>
        </w:rPr>
        <w:t>，其中对照组52例、观察组56例；两组患者均采取常规治疗，观察组在此基础上，采取孟鲁司特与激素吸入治疗；</w:t>
      </w:r>
      <w:r>
        <w:rPr>
          <w:rFonts w:hint="eastAsia"/>
          <w:bCs/>
          <w:color w:val="00B0F0"/>
          <w:sz w:val="24"/>
        </w:rPr>
        <w:t>比较两组患者的临床疗效、肺功能改善情况及重度患者的动脉血气指标、呼吸峰流速(PEF)</w:t>
      </w:r>
      <w:r>
        <w:rPr>
          <w:rFonts w:hint="eastAsia"/>
          <w:color w:val="00B0F0"/>
        </w:rPr>
        <w:t xml:space="preserve"> </w:t>
      </w:r>
      <w:r>
        <w:rPr>
          <w:rFonts w:hint="eastAsia"/>
          <w:bCs/>
          <w:color w:val="00B0F0"/>
          <w:sz w:val="24"/>
        </w:rPr>
        <w:t>变异率</w:t>
      </w:r>
      <w:r>
        <w:rPr>
          <w:rFonts w:hint="eastAsia"/>
          <w:bCs/>
          <w:color w:val="000000"/>
          <w:sz w:val="24"/>
        </w:rPr>
        <w:t>，采用酶联免疫吸附测定法(ELISA)检测</w:t>
      </w:r>
      <w:r>
        <w:rPr>
          <w:rFonts w:hint="eastAsia"/>
          <w:bCs/>
          <w:color w:val="FF0000"/>
          <w:sz w:val="24"/>
        </w:rPr>
        <w:t>血清中</w:t>
      </w:r>
      <w:r>
        <w:rPr>
          <w:rFonts w:hint="eastAsia"/>
          <w:bCs/>
          <w:color w:val="000000"/>
          <w:sz w:val="24"/>
        </w:rPr>
        <w:t>白细胞介素-12(I</w:t>
      </w:r>
      <w:r>
        <w:rPr>
          <w:bCs/>
          <w:color w:val="000000"/>
          <w:sz w:val="24"/>
        </w:rPr>
        <w:t>nterleukin-12</w:t>
      </w:r>
      <w:r>
        <w:rPr>
          <w:rFonts w:hint="eastAsia"/>
          <w:bCs/>
          <w:color w:val="000000"/>
          <w:sz w:val="24"/>
        </w:rPr>
        <w:t>,IL-12)及microRNA-21表达水平。</w:t>
      </w:r>
      <w:r>
        <w:rPr>
          <w:b/>
          <w:bCs/>
          <w:color w:val="000000"/>
          <w:sz w:val="24"/>
        </w:rPr>
        <w:t>结果：</w:t>
      </w:r>
      <w:r>
        <w:rPr>
          <w:rFonts w:hint="eastAsia"/>
          <w:bCs/>
          <w:color w:val="000000"/>
          <w:sz w:val="24"/>
        </w:rPr>
        <w:t>经秩和检验，观察组临床疗效优于对照组，具有统计学意义(P＜0.05)；治疗后，观察组患者的FEV1、PEF升高幅度大于对照组，差异具有统计学意义(P＜0.05)；</w:t>
      </w:r>
      <w:r>
        <w:rPr>
          <w:rFonts w:hint="eastAsia"/>
          <w:bCs/>
          <w:color w:val="00B0F0"/>
          <w:sz w:val="24"/>
        </w:rPr>
        <w:t>治疗后，观察组重度患者</w:t>
      </w:r>
      <w:r>
        <w:rPr>
          <w:bCs/>
          <w:color w:val="00B0F0"/>
          <w:sz w:val="24"/>
        </w:rPr>
        <w:t>PaO</w:t>
      </w:r>
      <w:r>
        <w:rPr>
          <w:bCs/>
          <w:color w:val="00B0F0"/>
          <w:sz w:val="24"/>
          <w:vertAlign w:val="subscript"/>
        </w:rPr>
        <w:t>2</w:t>
      </w:r>
      <w:r>
        <w:rPr>
          <w:rFonts w:hint="eastAsia"/>
          <w:bCs/>
          <w:color w:val="00B0F0"/>
          <w:sz w:val="24"/>
        </w:rPr>
        <w:t>升高程度、PEF变异率均大于对照组，差异具有统计学意义(P＜0.05)；</w:t>
      </w:r>
      <w:r>
        <w:rPr>
          <w:rFonts w:hint="eastAsia"/>
          <w:bCs/>
          <w:color w:val="000000"/>
          <w:sz w:val="24"/>
        </w:rPr>
        <w:t>治疗后，观察组患者的IL-12表达水平升高幅度大于对照组、microRNA-21表达水平降低幅度大于对照组，差异具有统计学意义(P＜0.05)</w:t>
      </w:r>
      <w:r>
        <w:rPr>
          <w:bCs/>
          <w:color w:val="000000"/>
          <w:sz w:val="24"/>
        </w:rPr>
        <w:t>。</w:t>
      </w:r>
      <w:r>
        <w:rPr>
          <w:b/>
          <w:bCs/>
          <w:color w:val="000000"/>
          <w:sz w:val="24"/>
        </w:rPr>
        <w:t>结论：</w:t>
      </w:r>
      <w:r>
        <w:rPr>
          <w:rFonts w:hint="eastAsia"/>
          <w:bCs/>
          <w:color w:val="000000"/>
          <w:sz w:val="24"/>
        </w:rPr>
        <w:t>孟鲁司特与激素吸入治疗可协同控制支气管哮喘的病情，改善肺功能，</w:t>
      </w:r>
      <w:r>
        <w:rPr>
          <w:rFonts w:hint="eastAsia"/>
          <w:bCs/>
          <w:color w:val="FF0000"/>
          <w:sz w:val="24"/>
        </w:rPr>
        <w:t>并使血清中IL-12表达水平升高和microRNA-21表达水平降低。</w:t>
      </w:r>
    </w:p>
    <w:p>
      <w:pPr>
        <w:rPr>
          <w:rFonts w:hint="eastAsia"/>
          <w:b/>
          <w:bCs/>
          <w:color w:val="000000"/>
          <w:sz w:val="24"/>
        </w:rPr>
      </w:pPr>
      <w:r>
        <w:rPr>
          <w:b/>
          <w:bCs/>
          <w:color w:val="000000"/>
          <w:sz w:val="24"/>
        </w:rPr>
        <w:t>关键词：</w:t>
      </w:r>
      <w:r>
        <w:rPr>
          <w:rFonts w:hint="eastAsia"/>
          <w:b/>
          <w:bCs/>
          <w:color w:val="000000"/>
          <w:sz w:val="24"/>
        </w:rPr>
        <w:t>支气管哮喘</w:t>
      </w:r>
      <w:r>
        <w:rPr>
          <w:b/>
          <w:bCs/>
          <w:color w:val="000000"/>
          <w:sz w:val="24"/>
        </w:rPr>
        <w:t>；</w:t>
      </w:r>
      <w:r>
        <w:rPr>
          <w:rFonts w:hint="eastAsia"/>
          <w:b/>
          <w:bCs/>
          <w:color w:val="000000"/>
          <w:sz w:val="24"/>
        </w:rPr>
        <w:t>孟鲁司特</w:t>
      </w:r>
      <w:r>
        <w:rPr>
          <w:b/>
          <w:bCs/>
          <w:color w:val="000000"/>
          <w:sz w:val="24"/>
        </w:rPr>
        <w:t>；</w:t>
      </w:r>
      <w:r>
        <w:rPr>
          <w:rFonts w:hint="eastAsia"/>
          <w:b/>
          <w:bCs/>
          <w:color w:val="000000"/>
          <w:sz w:val="24"/>
        </w:rPr>
        <w:t>激素；IL-12；microRNA-21</w:t>
      </w:r>
    </w:p>
    <w:p>
      <w:pPr>
        <w:jc w:val="center"/>
        <w:rPr>
          <w:b/>
          <w:bCs/>
          <w:color w:val="000000"/>
          <w:sz w:val="24"/>
        </w:rPr>
      </w:pPr>
      <w:r>
        <w:rPr>
          <w:b/>
          <w:bCs/>
          <w:color w:val="000000"/>
          <w:sz w:val="24"/>
        </w:rPr>
        <w:t>Effect of treatment of patients with bronchial asthma in IL-12 and microRNA-21 expression montelukast and inhaled corticosteroid</w:t>
      </w:r>
    </w:p>
    <w:p>
      <w:pPr>
        <w:spacing w:line="360" w:lineRule="auto"/>
        <w:jc w:val="center"/>
        <w:rPr>
          <w:rFonts w:hint="eastAsia" w:eastAsia="宋体"/>
          <w:b/>
          <w:bCs/>
          <w:color w:val="000000"/>
          <w:sz w:val="24"/>
          <w:lang w:val="en-US" w:eastAsia="zh-CN"/>
        </w:rPr>
      </w:pPr>
      <w:r>
        <w:rPr>
          <w:rFonts w:hint="eastAsia"/>
          <w:b/>
          <w:bCs/>
          <w:color w:val="000000"/>
          <w:sz w:val="24"/>
          <w:lang w:val="en-US" w:eastAsia="zh-CN"/>
        </w:rPr>
        <w:t>SONG-Yan,HUANGQin-Rong</w:t>
      </w:r>
    </w:p>
    <w:p>
      <w:pPr>
        <w:spacing w:line="360" w:lineRule="auto"/>
        <w:rPr>
          <w:b/>
          <w:bCs/>
          <w:color w:val="000000"/>
          <w:sz w:val="24"/>
        </w:rPr>
      </w:pPr>
      <w:r>
        <w:rPr>
          <w:rFonts w:hint="eastAsia"/>
          <w:bCs/>
          <w:color w:val="000000"/>
          <w:sz w:val="24"/>
          <w:lang w:eastAsia="zh-CN"/>
        </w:rPr>
        <w:t>（</w:t>
      </w:r>
      <w:r>
        <w:rPr>
          <w:rFonts w:hint="eastAsia"/>
          <w:bCs/>
          <w:color w:val="000000"/>
          <w:sz w:val="24"/>
          <w:lang w:val="en-US" w:eastAsia="zh-CN"/>
        </w:rPr>
        <w:t>1:</w:t>
      </w:r>
      <w:r>
        <w:rPr>
          <w:rFonts w:hint="eastAsia"/>
          <w:bCs/>
          <w:color w:val="000000"/>
          <w:sz w:val="24"/>
        </w:rPr>
        <w:t>Guangyuan Municipal Center for Disease Control and prevention, preventive medicineclinic</w:t>
      </w:r>
      <w:r>
        <w:rPr>
          <w:bCs/>
          <w:color w:val="000000"/>
          <w:sz w:val="24"/>
        </w:rPr>
        <w:t>, Guangyuan 628017, Sichuan Province, China</w:t>
      </w:r>
      <w:r>
        <w:rPr>
          <w:rFonts w:hint="eastAsia"/>
          <w:bCs/>
          <w:color w:val="000000"/>
          <w:sz w:val="24"/>
          <w:lang w:val="en-US" w:eastAsia="zh-CN"/>
        </w:rPr>
        <w:t>;2:</w:t>
      </w:r>
      <w:r>
        <w:rPr>
          <w:bCs/>
          <w:color w:val="000000"/>
          <w:sz w:val="24"/>
        </w:rPr>
        <w:t>Guangyuan First People＇ s Hospital, Guangyuan, Sichuan 628017, China</w:t>
      </w:r>
      <w:r>
        <w:rPr>
          <w:rFonts w:hint="eastAsia"/>
          <w:bCs/>
          <w:color w:val="000000"/>
          <w:sz w:val="24"/>
          <w:lang w:val="en-US" w:eastAsia="zh-CN"/>
        </w:rPr>
        <w:t>)</w:t>
      </w:r>
      <w:bookmarkStart w:id="0" w:name="_GoBack"/>
      <w:bookmarkEnd w:id="0"/>
    </w:p>
    <w:p>
      <w:pPr>
        <w:rPr>
          <w:rFonts w:hint="eastAsia"/>
          <w:bCs/>
          <w:color w:val="000000"/>
          <w:sz w:val="24"/>
        </w:rPr>
      </w:pPr>
      <w:r>
        <w:rPr>
          <w:b/>
          <w:bCs/>
          <w:color w:val="000000"/>
          <w:sz w:val="24"/>
        </w:rPr>
        <w:t>[Abstract]Objective:</w:t>
      </w:r>
      <w:r>
        <w:rPr>
          <w:bCs/>
          <w:color w:val="000000"/>
          <w:sz w:val="24"/>
        </w:rPr>
        <w:t xml:space="preserve"> To analyze the impact of montelukast and inhaled corticosteroid treatment and microRNA-21 expression in patients with bronchial asthma of IL-12. </w:t>
      </w:r>
      <w:r>
        <w:rPr>
          <w:b/>
          <w:bCs/>
          <w:color w:val="000000"/>
          <w:sz w:val="24"/>
        </w:rPr>
        <w:t xml:space="preserve">Methods: </w:t>
      </w:r>
      <w:r>
        <w:rPr>
          <w:bCs/>
          <w:color w:val="000000"/>
          <w:sz w:val="24"/>
        </w:rPr>
        <w:t xml:space="preserve">Retrospective analysis from January 2015 to January 2016, the clinical data of 108 patients with bronchial asthma, according to whether to meng LuSi breathe with hormone therapy group and control group in 52 cases, observation group 56 cases; Two groups of patients were treated with routine, the observation group based on this, take meng LuSi breathe with hormone therapy; Compare the clinical efficacy of two groups of patients, improve pulmonary function and arterial blood gas index of patients with severe variation rate, respiratory peak velocity of flow (PEF), using enzyme-linked immunosorbent assay (ELISA) to detect Interleukin-12(Interleukin-12,IL-12) and mirna expression level-21 expression levels. </w:t>
      </w:r>
      <w:r>
        <w:rPr>
          <w:b/>
          <w:bCs/>
          <w:color w:val="000000"/>
          <w:sz w:val="24"/>
        </w:rPr>
        <w:t>Results:</w:t>
      </w:r>
      <w:r>
        <w:rPr>
          <w:bCs/>
          <w:color w:val="000000"/>
          <w:sz w:val="24"/>
        </w:rPr>
        <w:t xml:space="preserve"> The rank and inspection, clinical curative effect of observation group is better than that of control group, with statistical significance (P&lt;0.05); After treatment, the observation group of patients with FEV1, PEF rise more than the control group, the difference is statistically significant (P&lt;0.05); After treatment, the observation group of patients with severe PaO2 higher degree, PEF mutation rates were greater than the control group, the difference is statistically significant (P&lt;0.05); After treatment, the observation group of patients with high expression level is greater than the control group, IL - 12 micrornas - 21 expression level to reduce the amplitude is greater than the control group, difference has statistical significance (P&lt;0.05).</w:t>
      </w:r>
      <w:r>
        <w:rPr>
          <w:b/>
          <w:bCs/>
          <w:color w:val="000000"/>
          <w:sz w:val="24"/>
        </w:rPr>
        <w:t>Conclusion:</w:t>
      </w:r>
      <w:r>
        <w:rPr>
          <w:rFonts w:hint="eastAsia"/>
          <w:b/>
          <w:bCs/>
          <w:color w:val="000000"/>
          <w:sz w:val="24"/>
        </w:rPr>
        <w:t xml:space="preserve"> </w:t>
      </w:r>
      <w:r>
        <w:rPr>
          <w:rFonts w:hint="eastAsia"/>
          <w:bCs/>
          <w:color w:val="000000"/>
          <w:sz w:val="24"/>
        </w:rPr>
        <w:t>M</w:t>
      </w:r>
      <w:r>
        <w:rPr>
          <w:bCs/>
          <w:color w:val="000000"/>
          <w:sz w:val="24"/>
        </w:rPr>
        <w:t xml:space="preserve">ontelukast and inhaled corticosteroid therapy </w:t>
      </w:r>
      <w:r>
        <w:rPr>
          <w:rFonts w:hint="eastAsia"/>
          <w:bCs/>
          <w:color w:val="000000"/>
          <w:sz w:val="24"/>
        </w:rPr>
        <w:t xml:space="preserve">could </w:t>
      </w:r>
      <w:r>
        <w:rPr>
          <w:bCs/>
          <w:color w:val="000000"/>
          <w:sz w:val="24"/>
        </w:rPr>
        <w:t xml:space="preserve">cooperative control asthma condition, improve lung function, </w:t>
      </w:r>
      <w:r>
        <w:rPr>
          <w:rFonts w:hint="eastAsia"/>
          <w:bCs/>
          <w:color w:val="000000"/>
          <w:sz w:val="24"/>
        </w:rPr>
        <w:t xml:space="preserve">and </w:t>
      </w:r>
      <w:r>
        <w:rPr>
          <w:bCs/>
          <w:color w:val="000000"/>
          <w:sz w:val="24"/>
        </w:rPr>
        <w:t>increase IL-12 expression levels</w:t>
      </w:r>
      <w:r>
        <w:rPr>
          <w:rFonts w:hint="eastAsia"/>
          <w:bCs/>
          <w:color w:val="000000"/>
          <w:sz w:val="24"/>
        </w:rPr>
        <w:t xml:space="preserve"> and reduce </w:t>
      </w:r>
      <w:r>
        <w:rPr>
          <w:bCs/>
          <w:color w:val="000000"/>
          <w:sz w:val="24"/>
        </w:rPr>
        <w:t>levels of microRNA-21 expression</w:t>
      </w:r>
      <w:r>
        <w:rPr>
          <w:rFonts w:hint="eastAsia"/>
          <w:bCs/>
          <w:color w:val="000000"/>
          <w:sz w:val="24"/>
        </w:rPr>
        <w:t>.</w:t>
      </w:r>
    </w:p>
    <w:p>
      <w:pPr>
        <w:rPr>
          <w:b/>
          <w:bCs/>
          <w:color w:val="000000"/>
          <w:sz w:val="24"/>
        </w:rPr>
      </w:pPr>
      <w:r>
        <w:rPr>
          <w:b/>
          <w:bCs/>
          <w:color w:val="000000"/>
          <w:sz w:val="24"/>
        </w:rPr>
        <w:t>Key words: bronchial asthma; montelukast; Hormone; IL-12; microRNA-21</w:t>
      </w:r>
    </w:p>
    <w:p>
      <w:pPr>
        <w:ind w:firstLine="470" w:firstLineChars="196"/>
        <w:rPr>
          <w:rFonts w:hint="eastAsia"/>
          <w:bCs/>
          <w:color w:val="000000"/>
          <w:sz w:val="24"/>
        </w:rPr>
      </w:pPr>
      <w:r>
        <w:rPr>
          <w:rFonts w:hint="eastAsia"/>
          <w:bCs/>
          <w:color w:val="000000"/>
          <w:sz w:val="24"/>
        </w:rPr>
        <w:t>支气管哮喘是由多种炎症细胞、炎症介质及细胞因子</w:t>
      </w:r>
      <w:r>
        <w:rPr>
          <w:bCs/>
          <w:color w:val="000000"/>
          <w:sz w:val="24"/>
        </w:rPr>
        <w:t>介导的</w:t>
      </w:r>
      <w:r>
        <w:rPr>
          <w:rFonts w:hint="eastAsia"/>
          <w:bCs/>
          <w:color w:val="000000"/>
          <w:sz w:val="24"/>
        </w:rPr>
        <w:t>气道慢性炎症性疾病</w:t>
      </w:r>
      <w:r>
        <w:rPr>
          <w:rFonts w:hint="eastAsia"/>
          <w:bCs/>
          <w:color w:val="FF0000"/>
          <w:sz w:val="24"/>
          <w:vertAlign w:val="superscript"/>
        </w:rPr>
        <w:t>[1]</w:t>
      </w:r>
      <w:r>
        <w:rPr>
          <w:rFonts w:hint="eastAsia"/>
          <w:bCs/>
          <w:color w:val="000000"/>
          <w:sz w:val="24"/>
        </w:rPr>
        <w:t>,</w:t>
      </w:r>
      <w:r>
        <w:rPr>
          <w:rFonts w:hint="eastAsia"/>
          <w:bCs/>
          <w:color w:val="FF0000"/>
          <w:sz w:val="24"/>
        </w:rPr>
        <w:t xml:space="preserve"> 在支气管哮喘患者中血清白细胞介素-12(Interleukin-12,IL-12)表达水平显著降低，microRNA-21表达水平显著升高，可能促进支气管哮喘的病情发生发展。</w:t>
      </w:r>
      <w:r>
        <w:rPr>
          <w:rFonts w:hint="eastAsia"/>
          <w:bCs/>
          <w:color w:val="000000"/>
          <w:sz w:val="24"/>
        </w:rPr>
        <w:t>孟鲁司特作为常用的白三烯拮抗剂，在治疗支气管哮喘上，具有抗感染、抑制炎症反应等作用；此外，</w:t>
      </w:r>
      <w:r>
        <w:rPr>
          <w:rFonts w:hint="eastAsia"/>
          <w:bCs/>
          <w:color w:val="FF0000"/>
          <w:sz w:val="24"/>
        </w:rPr>
        <w:t>糖皮质激素具有强效抗炎作用</w:t>
      </w:r>
      <w:r>
        <w:rPr>
          <w:rFonts w:hint="eastAsia"/>
          <w:bCs/>
          <w:color w:val="FF0000"/>
          <w:sz w:val="24"/>
          <w:vertAlign w:val="superscript"/>
        </w:rPr>
        <w:t xml:space="preserve"> [2]</w:t>
      </w:r>
      <w:r>
        <w:rPr>
          <w:rFonts w:hint="eastAsia"/>
          <w:bCs/>
          <w:color w:val="000000"/>
          <w:sz w:val="24"/>
        </w:rPr>
        <w:t>。然后，孟鲁司特与激素吸入治疗广泛用于支气管哮喘的治疗。本研究通过孟鲁司特与激素吸入治疗支气管哮喘，观察其临床疗效、肺功能改善情况、IL-12及microRNA-21表达水平，分析孟鲁司特与激素吸入治疗对支气管哮喘患者中</w:t>
      </w:r>
      <w:r>
        <w:rPr>
          <w:rFonts w:hint="eastAsia"/>
          <w:bCs/>
          <w:color w:val="FF0000"/>
          <w:sz w:val="24"/>
        </w:rPr>
        <w:t>血清</w:t>
      </w:r>
      <w:r>
        <w:rPr>
          <w:rFonts w:hint="eastAsia"/>
          <w:bCs/>
          <w:color w:val="000000"/>
          <w:sz w:val="24"/>
        </w:rPr>
        <w:t>IL-12及microRNA-21表达的影响。</w:t>
      </w:r>
    </w:p>
    <w:p>
      <w:pPr>
        <w:rPr>
          <w:b/>
          <w:bCs/>
          <w:color w:val="000000"/>
          <w:sz w:val="24"/>
        </w:rPr>
      </w:pPr>
      <w:r>
        <w:rPr>
          <w:b/>
          <w:bCs/>
          <w:color w:val="000000"/>
          <w:sz w:val="24"/>
        </w:rPr>
        <w:t>1</w:t>
      </w:r>
      <w:r>
        <w:rPr>
          <w:rFonts w:hint="eastAsia"/>
          <w:b/>
          <w:bCs/>
          <w:color w:val="000000"/>
          <w:sz w:val="24"/>
        </w:rPr>
        <w:t>临床</w:t>
      </w:r>
      <w:r>
        <w:rPr>
          <w:b/>
          <w:bCs/>
          <w:color w:val="000000"/>
          <w:sz w:val="24"/>
        </w:rPr>
        <w:t>资料</w:t>
      </w:r>
    </w:p>
    <w:p>
      <w:pPr>
        <w:rPr>
          <w:color w:val="000000"/>
          <w:sz w:val="24"/>
        </w:rPr>
      </w:pPr>
      <w:r>
        <w:rPr>
          <w:color w:val="000000"/>
          <w:sz w:val="24"/>
        </w:rPr>
        <w:t>1.1 一般资料</w:t>
      </w:r>
    </w:p>
    <w:p>
      <w:pPr>
        <w:ind w:firstLine="480" w:firstLineChars="200"/>
        <w:rPr>
          <w:rFonts w:hint="eastAsia"/>
          <w:bCs/>
          <w:color w:val="000000"/>
          <w:sz w:val="24"/>
        </w:rPr>
      </w:pPr>
      <w:r>
        <w:rPr>
          <w:rFonts w:hint="eastAsia"/>
          <w:color w:val="000000"/>
          <w:sz w:val="24"/>
        </w:rPr>
        <w:t>回顾性分析我院自2015年1月至2016年1月收治的108例支气管哮喘患者的临床资料，根据是否采取孟鲁司特与激素吸入治疗</w:t>
      </w:r>
      <w:r>
        <w:rPr>
          <w:rFonts w:hint="eastAsia"/>
          <w:sz w:val="24"/>
        </w:rPr>
        <w:t>进行分组，</w:t>
      </w:r>
      <w:r>
        <w:rPr>
          <w:rFonts w:hint="eastAsia"/>
          <w:color w:val="FF0000"/>
          <w:sz w:val="24"/>
        </w:rPr>
        <w:t>其中</w:t>
      </w:r>
      <w:r>
        <w:rPr>
          <w:rFonts w:hint="eastAsia"/>
          <w:color w:val="000000"/>
          <w:sz w:val="24"/>
        </w:rPr>
        <w:t>对照组52例</w:t>
      </w:r>
      <w:r>
        <w:rPr>
          <w:rFonts w:hint="eastAsia"/>
          <w:color w:val="FF0000"/>
          <w:sz w:val="24"/>
        </w:rPr>
        <w:t>支气管哮喘患者</w:t>
      </w:r>
      <w:r>
        <w:rPr>
          <w:rFonts w:hint="eastAsia"/>
          <w:color w:val="000000"/>
          <w:sz w:val="24"/>
        </w:rPr>
        <w:t>，男患29例、女患23例；年龄范围22.6～58.9岁、平均年龄(35.6±2.9)岁；病程最短29天、最长3.4年、平均病程(1.4±0.6)年；病情严重程度：轻度16例、中度25例、重度11例；观察组56例</w:t>
      </w:r>
      <w:r>
        <w:rPr>
          <w:rFonts w:hint="eastAsia"/>
          <w:color w:val="FF0000"/>
          <w:sz w:val="24"/>
        </w:rPr>
        <w:t>支气管哮喘患者</w:t>
      </w:r>
      <w:r>
        <w:rPr>
          <w:rFonts w:hint="eastAsia"/>
          <w:bCs/>
          <w:color w:val="000000"/>
          <w:sz w:val="24"/>
        </w:rPr>
        <w:t>，其中男患31例、女患25例；年龄范围23.2～59.3岁、平均年龄(37.4±2.8)岁；病程最短26天、最长3.7年、平均病程(2.3±0.5)年；病情严重程度：轻度17例、中度28例、重度12例；两组患者的一般资料</w:t>
      </w:r>
      <w:r>
        <w:rPr>
          <w:rFonts w:hint="eastAsia"/>
          <w:bCs/>
          <w:color w:val="FF0000"/>
          <w:sz w:val="24"/>
        </w:rPr>
        <w:t>如年龄、性别，病程和病情严重程度等</w:t>
      </w:r>
      <w:r>
        <w:rPr>
          <w:rFonts w:hint="eastAsia"/>
          <w:bCs/>
          <w:color w:val="000000"/>
          <w:sz w:val="24"/>
        </w:rPr>
        <w:t>均无显著性差异(P＞0.05)。</w:t>
      </w:r>
    </w:p>
    <w:p>
      <w:pPr>
        <w:rPr>
          <w:rFonts w:hint="eastAsia"/>
          <w:bCs/>
          <w:color w:val="000000"/>
          <w:sz w:val="24"/>
        </w:rPr>
      </w:pPr>
      <w:r>
        <w:rPr>
          <w:rFonts w:hint="eastAsia"/>
          <w:bCs/>
          <w:color w:val="000000"/>
          <w:sz w:val="24"/>
        </w:rPr>
        <w:t>1.2纳入标准</w:t>
      </w:r>
    </w:p>
    <w:p>
      <w:pPr>
        <w:ind w:firstLine="480" w:firstLineChars="200"/>
        <w:rPr>
          <w:rFonts w:hint="eastAsia"/>
          <w:bCs/>
          <w:color w:val="000000"/>
          <w:sz w:val="24"/>
        </w:rPr>
      </w:pPr>
      <w:r>
        <w:rPr>
          <w:rFonts w:hint="eastAsia"/>
          <w:bCs/>
          <w:color w:val="000000"/>
          <w:sz w:val="24"/>
        </w:rPr>
        <w:t>所有患者均具有完整的临床资料，符合2003</w:t>
      </w:r>
      <w:r>
        <w:rPr>
          <w:rFonts w:hint="eastAsia"/>
          <w:color w:val="000000"/>
          <w:sz w:val="24"/>
        </w:rPr>
        <w:t>中华医学会呼吸病学会分会制定的支气管哮喘诊断标准，入组</w:t>
      </w:r>
      <w:r>
        <w:rPr>
          <w:rFonts w:hint="eastAsia"/>
          <w:color w:val="FF0000"/>
          <w:sz w:val="24"/>
        </w:rPr>
        <w:t>前</w:t>
      </w:r>
      <w:r>
        <w:rPr>
          <w:rFonts w:hint="eastAsia"/>
          <w:color w:val="000000"/>
          <w:sz w:val="24"/>
        </w:rPr>
        <w:t>1个月内未使用糖皮质激素、白三烯受体阻断剂等药物治疗，无合并其他慢性</w:t>
      </w:r>
      <w:r>
        <w:rPr>
          <w:rFonts w:hint="eastAsia"/>
          <w:color w:val="FF0000"/>
          <w:sz w:val="24"/>
        </w:rPr>
        <w:t>心、肺部</w:t>
      </w:r>
      <w:r>
        <w:rPr>
          <w:rFonts w:hint="eastAsia"/>
          <w:color w:val="000000"/>
          <w:sz w:val="24"/>
        </w:rPr>
        <w:t>疾病，且知悉本研究的基本情况，并签署知情同意书。</w:t>
      </w:r>
    </w:p>
    <w:p>
      <w:pPr>
        <w:rPr>
          <w:rFonts w:hint="eastAsia"/>
          <w:color w:val="000000"/>
          <w:sz w:val="24"/>
        </w:rPr>
      </w:pPr>
      <w:r>
        <w:rPr>
          <w:rFonts w:hint="eastAsia"/>
          <w:color w:val="000000"/>
          <w:sz w:val="24"/>
        </w:rPr>
        <w:t>1.3排除标准</w:t>
      </w:r>
    </w:p>
    <w:p>
      <w:pPr>
        <w:rPr>
          <w:rFonts w:hint="eastAsia"/>
          <w:color w:val="000000"/>
          <w:sz w:val="24"/>
        </w:rPr>
      </w:pPr>
      <w:r>
        <w:rPr>
          <w:rFonts w:hint="eastAsia"/>
          <w:color w:val="000000"/>
          <w:sz w:val="24"/>
        </w:rPr>
        <w:t xml:space="preserve">    入组</w:t>
      </w:r>
      <w:r>
        <w:rPr>
          <w:rFonts w:hint="eastAsia"/>
          <w:color w:val="FF0000"/>
          <w:sz w:val="24"/>
        </w:rPr>
        <w:t>前</w:t>
      </w:r>
      <w:r>
        <w:rPr>
          <w:rFonts w:hint="eastAsia"/>
          <w:color w:val="000000"/>
          <w:sz w:val="24"/>
        </w:rPr>
        <w:t>1个月内使用过糖皮质激素、白三烯受体阻断剂等支气管哮喘治疗药物，合并严重的慢性</w:t>
      </w:r>
      <w:r>
        <w:rPr>
          <w:rFonts w:hint="eastAsia"/>
          <w:color w:val="FF0000"/>
          <w:sz w:val="24"/>
        </w:rPr>
        <w:t>心、肺部</w:t>
      </w:r>
      <w:r>
        <w:rPr>
          <w:rFonts w:hint="eastAsia"/>
          <w:color w:val="000000"/>
          <w:sz w:val="24"/>
        </w:rPr>
        <w:t>疾病，对白三烯受体阻断剂或糖皮质激素过敏，或不能耐受激素吸入治疗，妊娠期及哺乳期妇女。</w:t>
      </w:r>
    </w:p>
    <w:p>
      <w:pPr>
        <w:rPr>
          <w:b/>
          <w:bCs/>
          <w:color w:val="000000"/>
          <w:sz w:val="24"/>
        </w:rPr>
      </w:pPr>
      <w:r>
        <w:rPr>
          <w:rFonts w:hint="eastAsia"/>
          <w:b/>
          <w:color w:val="000000"/>
          <w:sz w:val="24"/>
        </w:rPr>
        <w:t>2研究</w:t>
      </w:r>
      <w:r>
        <w:rPr>
          <w:b/>
          <w:bCs/>
          <w:color w:val="000000"/>
          <w:sz w:val="24"/>
        </w:rPr>
        <w:t>方法</w:t>
      </w:r>
    </w:p>
    <w:p>
      <w:pPr>
        <w:rPr>
          <w:rFonts w:hint="eastAsia"/>
          <w:color w:val="000000"/>
          <w:sz w:val="24"/>
        </w:rPr>
      </w:pPr>
      <w:r>
        <w:rPr>
          <w:rFonts w:hint="eastAsia"/>
          <w:color w:val="000000"/>
          <w:sz w:val="24"/>
        </w:rPr>
        <w:t>2.1治疗方法</w:t>
      </w:r>
    </w:p>
    <w:p>
      <w:pPr>
        <w:ind w:firstLine="480" w:firstLineChars="200"/>
        <w:rPr>
          <w:rFonts w:hint="eastAsia"/>
          <w:color w:val="FF0000"/>
          <w:sz w:val="24"/>
        </w:rPr>
      </w:pPr>
      <w:r>
        <w:rPr>
          <w:rFonts w:hint="eastAsia"/>
          <w:color w:val="000000"/>
          <w:sz w:val="24"/>
        </w:rPr>
        <w:t>两组患者均采取常规治疗，具体如下：给予吸氧、保持呼吸道通畅，维持水、电解质平衡，纠正酸碱紊乱；辅以止咳、化痰等对症治疗，喘息严重者给</w:t>
      </w:r>
      <w:r>
        <w:rPr>
          <w:color w:val="000000"/>
          <w:sz w:val="24"/>
        </w:rPr>
        <w:t>予β</w:t>
      </w:r>
      <w:r>
        <w:rPr>
          <w:color w:val="000000"/>
          <w:sz w:val="24"/>
          <w:vertAlign w:val="subscript"/>
        </w:rPr>
        <w:t>2</w:t>
      </w:r>
      <w:r>
        <w:rPr>
          <w:color w:val="000000"/>
          <w:sz w:val="24"/>
        </w:rPr>
        <w:t>受体激动剂</w:t>
      </w:r>
      <w:r>
        <w:rPr>
          <w:rFonts w:hint="eastAsia"/>
          <w:color w:val="000000"/>
          <w:sz w:val="24"/>
        </w:rPr>
        <w:t>治疗，合并细菌感染者给予抗生素治疗，持续治疗12周；观察组在此基础上，采取孟鲁司特与激素吸入治疗，睡前口服孟鲁司特，每次10mg，每日1次；雾化吸入布地奈德，每次200～4</w:t>
      </w:r>
      <w:r>
        <w:rPr>
          <w:color w:val="000000"/>
          <w:sz w:val="24"/>
        </w:rPr>
        <w:t>00μg</w:t>
      </w:r>
      <w:r>
        <w:rPr>
          <w:rFonts w:hint="eastAsia"/>
          <w:color w:val="000000"/>
          <w:sz w:val="24"/>
        </w:rPr>
        <w:t>，每日2～4次，持续治疗12周；比较两组患者的临床疗效、肺功能改善情况，</w:t>
      </w:r>
      <w:r>
        <w:rPr>
          <w:rFonts w:hint="eastAsia"/>
          <w:color w:val="FF0000"/>
          <w:sz w:val="24"/>
        </w:rPr>
        <w:t>应用人</w:t>
      </w:r>
      <w:r>
        <w:rPr>
          <w:color w:val="FF0000"/>
          <w:sz w:val="24"/>
        </w:rPr>
        <w:t>IL-12</w:t>
      </w:r>
      <w:r>
        <w:rPr>
          <w:rFonts w:hint="eastAsia"/>
          <w:color w:val="FF0000"/>
          <w:sz w:val="24"/>
        </w:rPr>
        <w:t>试剂盒和人</w:t>
      </w:r>
      <w:r>
        <w:rPr>
          <w:color w:val="FF0000"/>
          <w:sz w:val="24"/>
        </w:rPr>
        <w:t>microRNA-21</w:t>
      </w:r>
      <w:r>
        <w:rPr>
          <w:rFonts w:hint="eastAsia"/>
          <w:color w:val="FF0000"/>
          <w:sz w:val="24"/>
        </w:rPr>
        <w:t>试剂盒通过酶联免疫吸附测定法(ELISA)检测血清IL-12及microRNA-21的表达水平。</w:t>
      </w:r>
    </w:p>
    <w:p>
      <w:pPr>
        <w:rPr>
          <w:rFonts w:hint="eastAsia"/>
          <w:color w:val="000000"/>
          <w:sz w:val="24"/>
        </w:rPr>
      </w:pPr>
      <w:r>
        <w:rPr>
          <w:rFonts w:hint="eastAsia"/>
          <w:color w:val="000000"/>
          <w:sz w:val="24"/>
        </w:rPr>
        <w:t>2.2临床疗效观察</w:t>
      </w:r>
    </w:p>
    <w:p>
      <w:pPr>
        <w:ind w:firstLine="480" w:firstLineChars="200"/>
        <w:rPr>
          <w:rFonts w:hint="eastAsia"/>
          <w:color w:val="000000"/>
          <w:sz w:val="24"/>
        </w:rPr>
      </w:pPr>
      <w:r>
        <w:rPr>
          <w:rFonts w:hint="eastAsia"/>
          <w:color w:val="000000"/>
          <w:sz w:val="24"/>
        </w:rPr>
        <w:t>根据中华医学会呼吸病学会分会哮喘学组颁发支气管哮喘防治指南(支气管哮喘的定义、诊断、治疗及教育和管理方案)，观察患者的临床疗效，以日间喘息发作频率、夜间喘息发作频率、急性期对症药物使用情况及活动是否受限作为观察指标，将支气管哮喘病情控制情况分为控制、部分控制、未控制3个等级</w:t>
      </w:r>
      <w:r>
        <w:rPr>
          <w:rFonts w:hint="eastAsia"/>
          <w:bCs/>
          <w:color w:val="FF0000"/>
          <w:sz w:val="24"/>
          <w:vertAlign w:val="superscript"/>
        </w:rPr>
        <w:t>[3]</w:t>
      </w:r>
      <w:r>
        <w:rPr>
          <w:rFonts w:hint="eastAsia"/>
          <w:color w:val="000000"/>
          <w:sz w:val="24"/>
        </w:rPr>
        <w:t>。</w:t>
      </w:r>
    </w:p>
    <w:p>
      <w:pPr>
        <w:rPr>
          <w:rFonts w:hint="eastAsia"/>
          <w:color w:val="00B0F0"/>
          <w:sz w:val="24"/>
        </w:rPr>
      </w:pPr>
      <w:r>
        <w:rPr>
          <w:rFonts w:hint="eastAsia"/>
          <w:color w:val="00B0F0"/>
          <w:sz w:val="24"/>
        </w:rPr>
        <w:t>2.3肺通气及动脉血气指标测定</w:t>
      </w:r>
    </w:p>
    <w:p>
      <w:pPr>
        <w:ind w:firstLine="480"/>
        <w:rPr>
          <w:rFonts w:hint="eastAsia"/>
          <w:color w:val="000000"/>
          <w:sz w:val="24"/>
        </w:rPr>
      </w:pPr>
      <w:r>
        <w:rPr>
          <w:rFonts w:hint="eastAsia"/>
          <w:color w:val="00B0F0"/>
          <w:sz w:val="24"/>
        </w:rPr>
        <w:t>所有患者均采用肺功能仪测定肺功能；在肺功能测定前，指导患者正确使用肺功能仪，在测定3次后，确定流速容量曲线无异常的情况下，测定第一秒用力呼气量(FEV1)、呼气峰值流速(PEF)；动脉血气指标包括</w:t>
      </w:r>
      <w:r>
        <w:rPr>
          <w:color w:val="00B0F0"/>
          <w:sz w:val="24"/>
        </w:rPr>
        <w:t>PaO</w:t>
      </w:r>
      <w:r>
        <w:rPr>
          <w:color w:val="00B0F0"/>
          <w:sz w:val="24"/>
          <w:vertAlign w:val="subscript"/>
        </w:rPr>
        <w:t>2</w:t>
      </w:r>
      <w:r>
        <w:rPr>
          <w:rFonts w:hint="eastAsia"/>
          <w:color w:val="00B0F0"/>
          <w:sz w:val="24"/>
        </w:rPr>
        <w:t>、PaCO</w:t>
      </w:r>
      <w:r>
        <w:rPr>
          <w:color w:val="00B0F0"/>
          <w:sz w:val="24"/>
          <w:vertAlign w:val="subscript"/>
        </w:rPr>
        <w:t>2</w:t>
      </w:r>
      <w:r>
        <w:rPr>
          <w:rFonts w:hint="eastAsia"/>
          <w:color w:val="00B0F0"/>
          <w:sz w:val="24"/>
        </w:rPr>
        <w:t>、PH值、HCO</w:t>
      </w:r>
      <w:r>
        <w:rPr>
          <w:color w:val="00B0F0"/>
          <w:sz w:val="24"/>
          <w:vertAlign w:val="subscript"/>
        </w:rPr>
        <w:t>3</w:t>
      </w:r>
      <w:r>
        <w:rPr>
          <w:rFonts w:hint="eastAsia"/>
          <w:color w:val="00B0F0"/>
          <w:sz w:val="24"/>
          <w:vertAlign w:val="superscript"/>
        </w:rPr>
        <w:t>-</w:t>
      </w:r>
      <w:r>
        <w:rPr>
          <w:rFonts w:hint="eastAsia"/>
          <w:color w:val="00B0F0"/>
          <w:sz w:val="24"/>
        </w:rPr>
        <w:t>；测定肺通气及动</w:t>
      </w:r>
      <w:r>
        <w:rPr>
          <w:rFonts w:hint="eastAsia"/>
          <w:color w:val="000000"/>
          <w:sz w:val="24"/>
        </w:rPr>
        <w:t>脉血气指标时间点为入组治疗前一天</w:t>
      </w:r>
      <w:r>
        <w:rPr>
          <w:rFonts w:hint="eastAsia"/>
          <w:color w:val="FF0000"/>
          <w:sz w:val="24"/>
        </w:rPr>
        <w:t>早上8点</w:t>
      </w:r>
      <w:r>
        <w:rPr>
          <w:rFonts w:hint="eastAsia"/>
          <w:color w:val="000000"/>
          <w:sz w:val="24"/>
        </w:rPr>
        <w:t>和12周</w:t>
      </w:r>
      <w:r>
        <w:rPr>
          <w:rFonts w:hint="eastAsia"/>
          <w:color w:val="FF0000"/>
          <w:sz w:val="24"/>
        </w:rPr>
        <w:t>早上8点</w:t>
      </w:r>
      <w:r>
        <w:rPr>
          <w:rFonts w:hint="eastAsia"/>
          <w:color w:val="000000"/>
          <w:sz w:val="24"/>
        </w:rPr>
        <w:t>。</w:t>
      </w:r>
    </w:p>
    <w:p>
      <w:pPr>
        <w:rPr>
          <w:rFonts w:hint="eastAsia"/>
          <w:sz w:val="24"/>
          <w:highlight w:val="yellow"/>
        </w:rPr>
      </w:pPr>
      <w:r>
        <w:rPr>
          <w:rFonts w:hint="eastAsia"/>
          <w:sz w:val="24"/>
          <w:highlight w:val="yellow"/>
        </w:rPr>
        <w:t>2.4 每日呼气峰流速日变异率测定方法</w:t>
      </w:r>
    </w:p>
    <w:p>
      <w:pPr>
        <w:ind w:firstLine="480"/>
        <w:rPr>
          <w:rFonts w:hint="eastAsia"/>
          <w:sz w:val="24"/>
          <w:highlight w:val="yellow"/>
        </w:rPr>
      </w:pPr>
      <w:r>
        <w:rPr>
          <w:rFonts w:hint="eastAsia"/>
          <w:sz w:val="24"/>
          <w:highlight w:val="yellow"/>
        </w:rPr>
        <w:t>本研究应用wight 微型呼气峰速仪(购自英国Clement Clark公司)对所有患者测定每日呼气峰流速昼夜变化量。每天测定四次，分别为6：00，12:00，18:00，24:00共四个时间点，记录各个时间点的最大呼气峰流速值(p</w:t>
      </w:r>
      <w:r>
        <w:rPr>
          <w:sz w:val="24"/>
          <w:highlight w:val="yellow"/>
        </w:rPr>
        <w:t>eak expiratory flow</w:t>
      </w:r>
      <w:r>
        <w:rPr>
          <w:rFonts w:hint="eastAsia"/>
          <w:sz w:val="24"/>
          <w:highlight w:val="yellow"/>
        </w:rPr>
        <w:t>, PEF) 。均按正确方法进行测定，患者取立位，每时间点共吹3 次，取三个数值中最高值。计算每日呼气峰流速日变异率</w:t>
      </w:r>
      <w:r>
        <w:rPr>
          <w:sz w:val="24"/>
          <w:highlight w:val="yellow"/>
        </w:rPr>
        <w:t>(</w:t>
      </w:r>
      <w:r>
        <w:rPr>
          <w:rFonts w:hint="eastAsia"/>
          <w:sz w:val="24"/>
          <w:highlight w:val="yellow"/>
        </w:rPr>
        <w:t>p</w:t>
      </w:r>
      <w:r>
        <w:rPr>
          <w:sz w:val="24"/>
          <w:highlight w:val="yellow"/>
        </w:rPr>
        <w:t>eak expiratory flow rate variation, PEFR</w:t>
      </w:r>
      <w:r>
        <w:rPr>
          <w:rFonts w:hint="eastAsia"/>
          <w:sz w:val="24"/>
          <w:highlight w:val="yellow"/>
        </w:rPr>
        <w:t>V</w:t>
      </w:r>
      <w:r>
        <w:rPr>
          <w:sz w:val="24"/>
          <w:highlight w:val="yellow"/>
        </w:rPr>
        <w:t>)</w:t>
      </w:r>
      <w:r>
        <w:rPr>
          <w:rFonts w:hint="eastAsia"/>
          <w:sz w:val="24"/>
          <w:highlight w:val="yellow"/>
        </w:rPr>
        <w:t>，计算公式为：PEFR= (PEFmax-PEFmin)/ ( PEFmax+PEFmin)*0.5。</w:t>
      </w:r>
    </w:p>
    <w:p>
      <w:pPr>
        <w:rPr>
          <w:rFonts w:hint="eastAsia"/>
          <w:color w:val="00B0F0"/>
          <w:sz w:val="24"/>
        </w:rPr>
      </w:pPr>
      <w:r>
        <w:rPr>
          <w:rFonts w:hint="eastAsia"/>
          <w:color w:val="00B0F0"/>
          <w:sz w:val="24"/>
        </w:rPr>
        <w:t>2.5检测</w:t>
      </w:r>
      <w:r>
        <w:rPr>
          <w:rFonts w:hint="eastAsia"/>
          <w:color w:val="FF0000"/>
          <w:sz w:val="24"/>
        </w:rPr>
        <w:t>血清</w:t>
      </w:r>
      <w:r>
        <w:rPr>
          <w:rFonts w:hint="eastAsia"/>
          <w:color w:val="00B0F0"/>
          <w:sz w:val="24"/>
        </w:rPr>
        <w:t>IL-12及microRNA-21表达水平</w:t>
      </w:r>
    </w:p>
    <w:p>
      <w:pPr>
        <w:ind w:firstLine="480" w:firstLineChars="200"/>
        <w:rPr>
          <w:rFonts w:hint="eastAsia"/>
          <w:color w:val="00B0F0"/>
          <w:sz w:val="24"/>
        </w:rPr>
      </w:pPr>
      <w:r>
        <w:rPr>
          <w:color w:val="00B0F0"/>
          <w:sz w:val="24"/>
        </w:rPr>
        <w:t>IL-12</w:t>
      </w:r>
      <w:r>
        <w:rPr>
          <w:rFonts w:hint="eastAsia"/>
          <w:color w:val="00B0F0"/>
          <w:sz w:val="24"/>
        </w:rPr>
        <w:t>、</w:t>
      </w:r>
      <w:r>
        <w:rPr>
          <w:color w:val="00B0F0"/>
          <w:sz w:val="24"/>
        </w:rPr>
        <w:t>microRNA-21</w:t>
      </w:r>
      <w:r>
        <w:rPr>
          <w:rFonts w:hint="eastAsia"/>
          <w:color w:val="00B0F0"/>
          <w:sz w:val="24"/>
        </w:rPr>
        <w:t>的检测标本为血清；</w:t>
      </w:r>
      <w:r>
        <w:rPr>
          <w:rFonts w:hint="eastAsia"/>
          <w:color w:val="FF0000"/>
          <w:sz w:val="24"/>
        </w:rPr>
        <w:t>在入组治疗前一天早上8点和12周早上8点空腹采集静脉血</w:t>
      </w:r>
      <w:r>
        <w:rPr>
          <w:rFonts w:hint="eastAsia"/>
          <w:color w:val="00B0F0"/>
          <w:sz w:val="24"/>
        </w:rPr>
        <w:t xml:space="preserve"> 3ml，3000 r/ min 离心 20min 后，分离血清置于- 70℃冰箱中保存待测；</w:t>
      </w:r>
      <w:r>
        <w:rPr>
          <w:rFonts w:hint="eastAsia"/>
          <w:color w:val="000000"/>
          <w:sz w:val="24"/>
        </w:rPr>
        <w:t>采用酶联免疫吸附测定法(ELISA)检测IL-12及microRNA-21表达水平；严格按照人</w:t>
      </w:r>
      <w:r>
        <w:rPr>
          <w:color w:val="000000"/>
          <w:sz w:val="24"/>
        </w:rPr>
        <w:t>IL-12</w:t>
      </w:r>
      <w:r>
        <w:rPr>
          <w:rFonts w:hint="eastAsia"/>
          <w:color w:val="000000"/>
          <w:sz w:val="24"/>
        </w:rPr>
        <w:t>试剂盒、人</w:t>
      </w:r>
      <w:r>
        <w:rPr>
          <w:color w:val="000000"/>
          <w:sz w:val="24"/>
        </w:rPr>
        <w:t>microRNA-21</w:t>
      </w:r>
      <w:r>
        <w:rPr>
          <w:rFonts w:hint="eastAsia"/>
          <w:color w:val="000000"/>
          <w:sz w:val="24"/>
        </w:rPr>
        <w:t>试剂盒的说明书进行，上述两种试剂盒均来源于上海雅吉生物科技有限公司。</w:t>
      </w:r>
    </w:p>
    <w:p>
      <w:pPr>
        <w:rPr>
          <w:color w:val="000000"/>
          <w:sz w:val="24"/>
        </w:rPr>
      </w:pPr>
      <w:r>
        <w:rPr>
          <w:rFonts w:hint="eastAsia"/>
          <w:color w:val="000000"/>
          <w:sz w:val="24"/>
        </w:rPr>
        <w:t>2</w:t>
      </w:r>
      <w:r>
        <w:rPr>
          <w:color w:val="000000"/>
          <w:sz w:val="24"/>
        </w:rPr>
        <w:t>.</w:t>
      </w:r>
      <w:r>
        <w:rPr>
          <w:rFonts w:hint="eastAsia"/>
          <w:color w:val="000000"/>
          <w:sz w:val="24"/>
        </w:rPr>
        <w:t>6</w:t>
      </w:r>
      <w:r>
        <w:rPr>
          <w:color w:val="000000"/>
          <w:sz w:val="24"/>
        </w:rPr>
        <w:t xml:space="preserve"> 数据处理  </w:t>
      </w:r>
    </w:p>
    <w:p>
      <w:pPr>
        <w:ind w:firstLine="480" w:firstLineChars="200"/>
        <w:rPr>
          <w:color w:val="000000"/>
          <w:sz w:val="24"/>
        </w:rPr>
      </w:pPr>
      <w:r>
        <w:rPr>
          <w:color w:val="000000"/>
          <w:sz w:val="24"/>
        </w:rPr>
        <w:t>采用SPSS12.0软件处理实验数据，</w:t>
      </w:r>
      <w:r>
        <w:rPr>
          <w:rFonts w:hint="eastAsia"/>
          <w:color w:val="000000"/>
          <w:sz w:val="24"/>
        </w:rPr>
        <w:t>组间</w:t>
      </w:r>
      <w:r>
        <w:rPr>
          <w:color w:val="000000"/>
          <w:sz w:val="24"/>
        </w:rPr>
        <w:t>计量资料使用（</w:t>
      </w:r>
      <w:r>
        <w:rPr>
          <w:color w:val="000000"/>
          <w:sz w:val="24"/>
        </w:rPr>
        <w:sym w:font="Symbol" w:char="F060"/>
      </w:r>
      <w:r>
        <w:rPr>
          <w:color w:val="000000"/>
          <w:sz w:val="24"/>
        </w:rPr>
        <w:t>x±s）表示，进行T检验；</w:t>
      </w:r>
      <w:r>
        <w:rPr>
          <w:rFonts w:hint="eastAsia"/>
          <w:color w:val="000000"/>
          <w:sz w:val="24"/>
        </w:rPr>
        <w:t>等级资料使用秩和检验</w:t>
      </w:r>
      <w:r>
        <w:rPr>
          <w:color w:val="000000"/>
          <w:sz w:val="24"/>
        </w:rPr>
        <w:t>；</w:t>
      </w:r>
      <w:r>
        <w:rPr>
          <w:rFonts w:hint="eastAsia"/>
          <w:color w:val="000000"/>
          <w:sz w:val="24"/>
        </w:rPr>
        <w:t>以</w:t>
      </w:r>
      <w:r>
        <w:rPr>
          <w:color w:val="000000"/>
          <w:sz w:val="24"/>
        </w:rPr>
        <w:t>P＜0.05为差异具有统计学意义。</w:t>
      </w:r>
    </w:p>
    <w:p>
      <w:pPr>
        <w:rPr>
          <w:b/>
          <w:bCs/>
          <w:color w:val="000000"/>
          <w:sz w:val="24"/>
        </w:rPr>
      </w:pPr>
      <w:r>
        <w:rPr>
          <w:rFonts w:hint="eastAsia"/>
          <w:b/>
          <w:bCs/>
          <w:color w:val="000000"/>
          <w:sz w:val="24"/>
        </w:rPr>
        <w:t>3</w:t>
      </w:r>
      <w:r>
        <w:rPr>
          <w:b/>
          <w:bCs/>
          <w:color w:val="000000"/>
          <w:sz w:val="24"/>
        </w:rPr>
        <w:t>结果</w:t>
      </w:r>
    </w:p>
    <w:p>
      <w:pPr>
        <w:rPr>
          <w:rFonts w:hint="eastAsia"/>
          <w:bCs/>
          <w:color w:val="000000"/>
          <w:sz w:val="24"/>
        </w:rPr>
      </w:pPr>
      <w:r>
        <w:rPr>
          <w:rFonts w:hint="eastAsia"/>
          <w:bCs/>
          <w:color w:val="000000"/>
          <w:sz w:val="24"/>
        </w:rPr>
        <w:t>3.1两组患者的临床疗效比较</w:t>
      </w:r>
    </w:p>
    <w:p>
      <w:pPr>
        <w:ind w:firstLine="480" w:firstLineChars="200"/>
        <w:rPr>
          <w:rFonts w:hint="eastAsia"/>
          <w:bCs/>
          <w:color w:val="000000"/>
          <w:sz w:val="24"/>
        </w:rPr>
      </w:pPr>
      <w:r>
        <w:rPr>
          <w:rFonts w:hint="eastAsia"/>
          <w:bCs/>
          <w:color w:val="000000"/>
          <w:sz w:val="24"/>
        </w:rPr>
        <w:t>观察组：病情控制44例、部分控制6例、未控制4例，对照组：病情控制19例、部分控制21例、未控制12例；经秩和检验，观察组临床疗效优于对照组，具有统计学意义(Z=9.453，P＜0.05)。</w:t>
      </w:r>
    </w:p>
    <w:p>
      <w:pPr>
        <w:rPr>
          <w:rFonts w:hint="eastAsia"/>
          <w:bCs/>
          <w:color w:val="000000"/>
          <w:sz w:val="24"/>
        </w:rPr>
      </w:pPr>
    </w:p>
    <w:p>
      <w:pPr>
        <w:rPr>
          <w:rFonts w:hint="eastAsia"/>
          <w:bCs/>
          <w:color w:val="000000"/>
          <w:sz w:val="24"/>
        </w:rPr>
      </w:pPr>
      <w:r>
        <w:rPr>
          <w:rFonts w:hint="eastAsia"/>
          <w:bCs/>
          <w:color w:val="000000"/>
          <w:sz w:val="24"/>
        </w:rPr>
        <w:t>3.2两组患者治疗前后的FEV1、PEF比较</w:t>
      </w:r>
    </w:p>
    <w:p>
      <w:pPr>
        <w:ind w:firstLine="600" w:firstLineChars="250"/>
        <w:rPr>
          <w:rFonts w:hint="eastAsia"/>
          <w:bCs/>
          <w:color w:val="000000"/>
          <w:sz w:val="24"/>
        </w:rPr>
      </w:pPr>
      <w:r>
        <w:rPr>
          <w:rFonts w:hint="eastAsia"/>
          <w:bCs/>
          <w:color w:val="000000"/>
          <w:sz w:val="24"/>
        </w:rPr>
        <w:t>治疗前，两组患者的</w:t>
      </w:r>
      <w:r>
        <w:rPr>
          <w:bCs/>
          <w:color w:val="000000"/>
          <w:sz w:val="24"/>
        </w:rPr>
        <w:t>FEV1</w:t>
      </w:r>
      <w:r>
        <w:rPr>
          <w:rFonts w:hint="eastAsia"/>
          <w:bCs/>
          <w:color w:val="000000"/>
          <w:sz w:val="24"/>
        </w:rPr>
        <w:t>、</w:t>
      </w:r>
      <w:r>
        <w:rPr>
          <w:bCs/>
          <w:color w:val="000000"/>
          <w:sz w:val="24"/>
        </w:rPr>
        <w:t>PEF</w:t>
      </w:r>
      <w:r>
        <w:rPr>
          <w:rFonts w:hint="eastAsia"/>
          <w:bCs/>
          <w:color w:val="000000"/>
          <w:sz w:val="24"/>
        </w:rPr>
        <w:t>差异及</w:t>
      </w:r>
      <w:r>
        <w:rPr>
          <w:rFonts w:hint="eastAsia"/>
          <w:sz w:val="24"/>
          <w:highlight w:val="yellow"/>
        </w:rPr>
        <w:t>PEFR</w:t>
      </w:r>
      <w:r>
        <w:rPr>
          <w:rFonts w:hint="eastAsia"/>
          <w:bCs/>
          <w:color w:val="000000"/>
          <w:sz w:val="24"/>
        </w:rPr>
        <w:t>比较均无统计学意义(P＞0.05)；治疗后，观察组患者的FEV1、PEF升高幅度及</w:t>
      </w:r>
      <w:r>
        <w:rPr>
          <w:rFonts w:hint="eastAsia"/>
          <w:sz w:val="24"/>
          <w:highlight w:val="yellow"/>
        </w:rPr>
        <w:t>PEFR降幅</w:t>
      </w:r>
      <w:r>
        <w:rPr>
          <w:rFonts w:hint="eastAsia"/>
          <w:bCs/>
          <w:color w:val="000000"/>
          <w:sz w:val="24"/>
        </w:rPr>
        <w:t>大于对照组，差异具有统计学意义(P＜0.05)；详情见表1。</w:t>
      </w:r>
    </w:p>
    <w:p>
      <w:pPr>
        <w:jc w:val="center"/>
        <w:rPr>
          <w:rFonts w:hint="eastAsia"/>
          <w:bCs/>
          <w:color w:val="000000"/>
          <w:sz w:val="24"/>
        </w:rPr>
      </w:pPr>
      <w:r>
        <w:rPr>
          <w:rFonts w:hint="eastAsia"/>
          <w:bCs/>
          <w:color w:val="000000"/>
          <w:sz w:val="24"/>
        </w:rPr>
        <w:t>表1：两组患者治疗前后的FEV1、PEF</w:t>
      </w:r>
      <w:r>
        <w:rPr>
          <w:rFonts w:hint="eastAsia"/>
          <w:bCs/>
          <w:color w:val="000000"/>
          <w:sz w:val="24"/>
          <w:highlight w:val="yellow"/>
        </w:rPr>
        <w:t>及</w:t>
      </w:r>
      <w:r>
        <w:rPr>
          <w:rFonts w:hint="eastAsia"/>
          <w:sz w:val="24"/>
          <w:highlight w:val="yellow"/>
        </w:rPr>
        <w:t>PEFR</w:t>
      </w:r>
      <w:r>
        <w:rPr>
          <w:rFonts w:hint="eastAsia"/>
          <w:bCs/>
          <w:color w:val="000000"/>
          <w:sz w:val="24"/>
        </w:rPr>
        <w:t>比较</w:t>
      </w:r>
    </w:p>
    <w:tbl>
      <w:tblPr>
        <w:tblStyle w:val="10"/>
        <w:tblW w:w="8848" w:type="dxa"/>
        <w:jc w:val="center"/>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28"/>
        <w:gridCol w:w="720"/>
        <w:gridCol w:w="1260"/>
        <w:gridCol w:w="1133"/>
        <w:gridCol w:w="1207"/>
        <w:gridCol w:w="1080"/>
        <w:gridCol w:w="1313"/>
        <w:gridCol w:w="1207"/>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28" w:type="dxa"/>
            <w:vMerge w:val="restart"/>
            <w:vAlign w:val="center"/>
          </w:tcPr>
          <w:p>
            <w:pPr>
              <w:jc w:val="center"/>
              <w:rPr>
                <w:rFonts w:hint="eastAsia"/>
                <w:color w:val="000000"/>
                <w:kern w:val="0"/>
                <w:szCs w:val="21"/>
              </w:rPr>
            </w:pPr>
            <w:r>
              <w:rPr>
                <w:rFonts w:hint="eastAsia"/>
                <w:color w:val="000000"/>
                <w:kern w:val="0"/>
                <w:szCs w:val="21"/>
              </w:rPr>
              <w:t>组别</w:t>
            </w:r>
          </w:p>
        </w:tc>
        <w:tc>
          <w:tcPr>
            <w:tcW w:w="720" w:type="dxa"/>
            <w:vMerge w:val="restart"/>
            <w:vAlign w:val="center"/>
          </w:tcPr>
          <w:p>
            <w:pPr>
              <w:jc w:val="center"/>
              <w:rPr>
                <w:rFonts w:hint="eastAsia"/>
                <w:color w:val="000000"/>
                <w:kern w:val="0"/>
                <w:szCs w:val="21"/>
              </w:rPr>
            </w:pPr>
            <w:r>
              <w:rPr>
                <w:rFonts w:hint="eastAsia"/>
                <w:color w:val="000000"/>
                <w:kern w:val="0"/>
                <w:szCs w:val="21"/>
              </w:rPr>
              <w:t>例数</w:t>
            </w:r>
          </w:p>
        </w:tc>
        <w:tc>
          <w:tcPr>
            <w:tcW w:w="2393" w:type="dxa"/>
            <w:gridSpan w:val="2"/>
            <w:tcBorders>
              <w:top w:val="single" w:color="auto" w:sz="12" w:space="0"/>
              <w:bottom w:val="single" w:color="auto" w:sz="2" w:space="0"/>
            </w:tcBorders>
          </w:tcPr>
          <w:p>
            <w:pPr>
              <w:jc w:val="center"/>
              <w:rPr>
                <w:rFonts w:hint="eastAsia"/>
                <w:color w:val="000000"/>
                <w:kern w:val="0"/>
                <w:szCs w:val="21"/>
              </w:rPr>
            </w:pPr>
            <w:r>
              <w:rPr>
                <w:color w:val="000000"/>
                <w:kern w:val="0"/>
                <w:szCs w:val="21"/>
              </w:rPr>
              <w:t>FEV1(L)</w:t>
            </w:r>
          </w:p>
        </w:tc>
        <w:tc>
          <w:tcPr>
            <w:tcW w:w="2287" w:type="dxa"/>
            <w:gridSpan w:val="2"/>
            <w:tcBorders>
              <w:bottom w:val="single" w:color="auto" w:sz="4" w:space="0"/>
            </w:tcBorders>
            <w:vAlign w:val="center"/>
          </w:tcPr>
          <w:p>
            <w:pPr>
              <w:jc w:val="center"/>
              <w:rPr>
                <w:rFonts w:hint="eastAsia"/>
                <w:color w:val="000000"/>
                <w:kern w:val="0"/>
                <w:szCs w:val="21"/>
              </w:rPr>
            </w:pPr>
            <w:r>
              <w:rPr>
                <w:color w:val="000000"/>
                <w:kern w:val="0"/>
                <w:szCs w:val="21"/>
              </w:rPr>
              <w:t>PEF(%)</w:t>
            </w:r>
          </w:p>
        </w:tc>
        <w:tc>
          <w:tcPr>
            <w:tcW w:w="2520" w:type="dxa"/>
            <w:gridSpan w:val="2"/>
            <w:tcBorders>
              <w:bottom w:val="single" w:color="auto" w:sz="4" w:space="0"/>
            </w:tcBorders>
            <w:vAlign w:val="center"/>
          </w:tcPr>
          <w:p>
            <w:pPr>
              <w:jc w:val="center"/>
              <w:rPr>
                <w:rFonts w:hint="eastAsia"/>
                <w:color w:val="000000"/>
                <w:kern w:val="0"/>
                <w:szCs w:val="21"/>
                <w:highlight w:val="yellow"/>
              </w:rPr>
            </w:pPr>
            <w:r>
              <w:rPr>
                <w:rFonts w:hint="eastAsia"/>
                <w:sz w:val="24"/>
                <w:highlight w:val="yellow"/>
              </w:rPr>
              <w:t>PEFR</w:t>
            </w:r>
            <w:r>
              <w:rPr>
                <w:color w:val="000000"/>
                <w:kern w:val="0"/>
                <w:szCs w:val="21"/>
                <w:highlight w:val="yellow"/>
              </w:rPr>
              <w: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28" w:type="dxa"/>
            <w:vMerge w:val="continue"/>
            <w:tcBorders>
              <w:bottom w:val="single" w:color="auto" w:sz="4" w:space="0"/>
            </w:tcBorders>
            <w:vAlign w:val="center"/>
          </w:tcPr>
          <w:p>
            <w:pPr>
              <w:jc w:val="center"/>
              <w:rPr>
                <w:color w:val="000000"/>
                <w:kern w:val="0"/>
                <w:szCs w:val="21"/>
              </w:rPr>
            </w:pPr>
          </w:p>
        </w:tc>
        <w:tc>
          <w:tcPr>
            <w:tcW w:w="720" w:type="dxa"/>
            <w:vMerge w:val="continue"/>
            <w:tcBorders>
              <w:bottom w:val="single" w:color="auto" w:sz="4" w:space="0"/>
            </w:tcBorders>
          </w:tcPr>
          <w:p>
            <w:pPr>
              <w:jc w:val="center"/>
              <w:rPr>
                <w:color w:val="000000"/>
                <w:kern w:val="0"/>
                <w:szCs w:val="21"/>
              </w:rPr>
            </w:pPr>
          </w:p>
        </w:tc>
        <w:tc>
          <w:tcPr>
            <w:tcW w:w="1260" w:type="dxa"/>
            <w:tcBorders>
              <w:top w:val="single" w:color="auto" w:sz="2" w:space="0"/>
              <w:bottom w:val="single" w:color="auto" w:sz="4" w:space="0"/>
            </w:tcBorders>
            <w:vAlign w:val="center"/>
          </w:tcPr>
          <w:p>
            <w:pPr>
              <w:jc w:val="center"/>
              <w:rPr>
                <w:rFonts w:hint="eastAsia"/>
                <w:color w:val="000000"/>
                <w:kern w:val="0"/>
                <w:szCs w:val="21"/>
              </w:rPr>
            </w:pPr>
            <w:r>
              <w:rPr>
                <w:rFonts w:hint="eastAsia"/>
                <w:color w:val="000000"/>
                <w:kern w:val="0"/>
                <w:szCs w:val="21"/>
              </w:rPr>
              <w:t>治疗前</w:t>
            </w:r>
          </w:p>
        </w:tc>
        <w:tc>
          <w:tcPr>
            <w:tcW w:w="1133" w:type="dxa"/>
            <w:tcBorders>
              <w:top w:val="single" w:color="auto" w:sz="2" w:space="0"/>
              <w:bottom w:val="single" w:color="auto" w:sz="4" w:space="0"/>
            </w:tcBorders>
            <w:vAlign w:val="center"/>
          </w:tcPr>
          <w:p>
            <w:pPr>
              <w:jc w:val="center"/>
              <w:rPr>
                <w:rFonts w:hint="eastAsia"/>
                <w:color w:val="000000"/>
                <w:kern w:val="0"/>
                <w:szCs w:val="21"/>
              </w:rPr>
            </w:pPr>
            <w:r>
              <w:rPr>
                <w:rFonts w:hint="eastAsia"/>
                <w:color w:val="000000"/>
                <w:kern w:val="0"/>
                <w:szCs w:val="21"/>
              </w:rPr>
              <w:t>治疗后</w:t>
            </w:r>
          </w:p>
        </w:tc>
        <w:tc>
          <w:tcPr>
            <w:tcW w:w="1207" w:type="dxa"/>
            <w:tcBorders>
              <w:bottom w:val="single" w:color="auto" w:sz="4" w:space="0"/>
            </w:tcBorders>
            <w:vAlign w:val="center"/>
          </w:tcPr>
          <w:p>
            <w:pPr>
              <w:jc w:val="center"/>
              <w:rPr>
                <w:rFonts w:hint="eastAsia"/>
                <w:color w:val="000000"/>
                <w:kern w:val="0"/>
                <w:szCs w:val="21"/>
              </w:rPr>
            </w:pPr>
            <w:r>
              <w:rPr>
                <w:rFonts w:hint="eastAsia"/>
                <w:color w:val="000000"/>
                <w:kern w:val="0"/>
                <w:szCs w:val="21"/>
              </w:rPr>
              <w:t>治疗前</w:t>
            </w:r>
          </w:p>
        </w:tc>
        <w:tc>
          <w:tcPr>
            <w:tcW w:w="1080" w:type="dxa"/>
            <w:tcBorders>
              <w:bottom w:val="single" w:color="auto" w:sz="4" w:space="0"/>
            </w:tcBorders>
            <w:vAlign w:val="center"/>
          </w:tcPr>
          <w:p>
            <w:pPr>
              <w:jc w:val="center"/>
              <w:rPr>
                <w:rFonts w:hint="eastAsia"/>
                <w:color w:val="000000"/>
                <w:kern w:val="0"/>
                <w:szCs w:val="21"/>
              </w:rPr>
            </w:pPr>
            <w:r>
              <w:rPr>
                <w:rFonts w:hint="eastAsia"/>
                <w:color w:val="000000"/>
                <w:kern w:val="0"/>
                <w:szCs w:val="21"/>
              </w:rPr>
              <w:t>治疗后</w:t>
            </w:r>
          </w:p>
        </w:tc>
        <w:tc>
          <w:tcPr>
            <w:tcW w:w="1313" w:type="dxa"/>
            <w:tcBorders>
              <w:bottom w:val="single" w:color="auto" w:sz="4" w:space="0"/>
            </w:tcBorders>
            <w:vAlign w:val="center"/>
          </w:tcPr>
          <w:p>
            <w:pPr>
              <w:jc w:val="center"/>
              <w:rPr>
                <w:rFonts w:hint="eastAsia"/>
                <w:color w:val="000000"/>
                <w:kern w:val="0"/>
                <w:szCs w:val="21"/>
                <w:highlight w:val="yellow"/>
              </w:rPr>
            </w:pPr>
            <w:r>
              <w:rPr>
                <w:rFonts w:hint="eastAsia"/>
                <w:color w:val="000000"/>
                <w:kern w:val="0"/>
                <w:szCs w:val="21"/>
                <w:highlight w:val="yellow"/>
              </w:rPr>
              <w:t>治疗前</w:t>
            </w:r>
          </w:p>
        </w:tc>
        <w:tc>
          <w:tcPr>
            <w:tcW w:w="1207" w:type="dxa"/>
            <w:tcBorders>
              <w:bottom w:val="single" w:color="auto" w:sz="4" w:space="0"/>
            </w:tcBorders>
            <w:vAlign w:val="center"/>
          </w:tcPr>
          <w:p>
            <w:pPr>
              <w:jc w:val="center"/>
              <w:rPr>
                <w:rFonts w:hint="eastAsia"/>
                <w:color w:val="000000"/>
                <w:kern w:val="0"/>
                <w:szCs w:val="21"/>
                <w:highlight w:val="yellow"/>
              </w:rPr>
            </w:pPr>
            <w:r>
              <w:rPr>
                <w:rFonts w:hint="eastAsia"/>
                <w:color w:val="000000"/>
                <w:kern w:val="0"/>
                <w:szCs w:val="21"/>
                <w:highlight w:val="yellow"/>
              </w:rPr>
              <w:t>治疗后</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2" w:hRule="atLeast"/>
          <w:jc w:val="center"/>
        </w:trPr>
        <w:tc>
          <w:tcPr>
            <w:tcW w:w="928" w:type="dxa"/>
          </w:tcPr>
          <w:p>
            <w:pPr>
              <w:jc w:val="center"/>
              <w:rPr>
                <w:color w:val="000000"/>
                <w:kern w:val="0"/>
                <w:szCs w:val="21"/>
              </w:rPr>
            </w:pPr>
            <w:r>
              <w:rPr>
                <w:rFonts w:hint="eastAsia"/>
                <w:color w:val="000000"/>
                <w:kern w:val="0"/>
                <w:szCs w:val="21"/>
              </w:rPr>
              <w:t>对照组</w:t>
            </w:r>
          </w:p>
        </w:tc>
        <w:tc>
          <w:tcPr>
            <w:tcW w:w="720" w:type="dxa"/>
          </w:tcPr>
          <w:p>
            <w:pPr>
              <w:jc w:val="center"/>
              <w:rPr>
                <w:color w:val="000000"/>
                <w:kern w:val="0"/>
                <w:szCs w:val="21"/>
              </w:rPr>
            </w:pPr>
            <w:r>
              <w:rPr>
                <w:rFonts w:hint="eastAsia"/>
                <w:color w:val="000000"/>
                <w:kern w:val="0"/>
                <w:szCs w:val="21"/>
              </w:rPr>
              <w:t>52</w:t>
            </w:r>
          </w:p>
        </w:tc>
        <w:tc>
          <w:tcPr>
            <w:tcW w:w="1260" w:type="dxa"/>
          </w:tcPr>
          <w:p>
            <w:pPr>
              <w:jc w:val="center"/>
              <w:rPr>
                <w:rFonts w:hint="eastAsia"/>
                <w:color w:val="000000"/>
                <w:kern w:val="0"/>
                <w:szCs w:val="21"/>
              </w:rPr>
            </w:pPr>
            <w:r>
              <w:rPr>
                <w:color w:val="000000"/>
                <w:kern w:val="0"/>
                <w:szCs w:val="21"/>
              </w:rPr>
              <w:t>1.34 ± 0.17</w:t>
            </w:r>
          </w:p>
        </w:tc>
        <w:tc>
          <w:tcPr>
            <w:tcW w:w="1133" w:type="dxa"/>
          </w:tcPr>
          <w:p>
            <w:pPr>
              <w:jc w:val="center"/>
              <w:rPr>
                <w:rFonts w:hint="eastAsia"/>
                <w:color w:val="000000"/>
                <w:kern w:val="0"/>
                <w:szCs w:val="21"/>
              </w:rPr>
            </w:pPr>
            <w:r>
              <w:rPr>
                <w:color w:val="000000"/>
                <w:kern w:val="0"/>
                <w:szCs w:val="21"/>
              </w:rPr>
              <w:t>1.41±0.19</w:t>
            </w:r>
          </w:p>
        </w:tc>
        <w:tc>
          <w:tcPr>
            <w:tcW w:w="1207" w:type="dxa"/>
          </w:tcPr>
          <w:p>
            <w:pPr>
              <w:jc w:val="center"/>
              <w:rPr>
                <w:rFonts w:hint="eastAsia"/>
                <w:color w:val="000000"/>
                <w:kern w:val="0"/>
                <w:szCs w:val="21"/>
              </w:rPr>
            </w:pPr>
            <w:r>
              <w:rPr>
                <w:color w:val="000000"/>
                <w:kern w:val="0"/>
                <w:szCs w:val="21"/>
              </w:rPr>
              <w:t>61.2±1.36</w:t>
            </w:r>
          </w:p>
        </w:tc>
        <w:tc>
          <w:tcPr>
            <w:tcW w:w="1080" w:type="dxa"/>
          </w:tcPr>
          <w:p>
            <w:pPr>
              <w:jc w:val="center"/>
              <w:rPr>
                <w:rFonts w:hint="eastAsia"/>
                <w:color w:val="000000"/>
                <w:kern w:val="0"/>
                <w:szCs w:val="21"/>
              </w:rPr>
            </w:pPr>
            <w:r>
              <w:rPr>
                <w:color w:val="000000"/>
                <w:kern w:val="0"/>
                <w:szCs w:val="21"/>
              </w:rPr>
              <w:t>71.8±1.45</w:t>
            </w:r>
          </w:p>
        </w:tc>
        <w:tc>
          <w:tcPr>
            <w:tcW w:w="1313" w:type="dxa"/>
          </w:tcPr>
          <w:p>
            <w:pPr>
              <w:jc w:val="center"/>
              <w:rPr>
                <w:rFonts w:hint="eastAsia"/>
                <w:color w:val="000000"/>
                <w:kern w:val="0"/>
                <w:szCs w:val="21"/>
                <w:highlight w:val="yellow"/>
              </w:rPr>
            </w:pPr>
            <w:r>
              <w:rPr>
                <w:rFonts w:hint="eastAsia"/>
                <w:color w:val="000000"/>
                <w:kern w:val="0"/>
                <w:szCs w:val="21"/>
                <w:highlight w:val="yellow"/>
              </w:rPr>
              <w:t>23</w:t>
            </w:r>
            <w:r>
              <w:rPr>
                <w:color w:val="000000"/>
                <w:kern w:val="0"/>
                <w:szCs w:val="21"/>
                <w:highlight w:val="yellow"/>
              </w:rPr>
              <w:t>.</w:t>
            </w:r>
            <w:r>
              <w:rPr>
                <w:rFonts w:hint="eastAsia"/>
                <w:color w:val="000000"/>
                <w:kern w:val="0"/>
                <w:szCs w:val="21"/>
                <w:highlight w:val="yellow"/>
              </w:rPr>
              <w:t>1</w:t>
            </w:r>
            <w:r>
              <w:rPr>
                <w:color w:val="000000"/>
                <w:kern w:val="0"/>
                <w:szCs w:val="21"/>
                <w:highlight w:val="yellow"/>
              </w:rPr>
              <w:t>±</w:t>
            </w:r>
            <w:r>
              <w:rPr>
                <w:rFonts w:hint="eastAsia"/>
                <w:color w:val="000000"/>
                <w:kern w:val="0"/>
                <w:szCs w:val="21"/>
                <w:highlight w:val="yellow"/>
              </w:rPr>
              <w:t>2.2</w:t>
            </w:r>
          </w:p>
        </w:tc>
        <w:tc>
          <w:tcPr>
            <w:tcW w:w="1207" w:type="dxa"/>
          </w:tcPr>
          <w:p>
            <w:pPr>
              <w:jc w:val="center"/>
              <w:rPr>
                <w:rFonts w:hint="eastAsia"/>
                <w:color w:val="000000"/>
                <w:kern w:val="0"/>
                <w:szCs w:val="21"/>
                <w:highlight w:val="yellow"/>
              </w:rPr>
            </w:pPr>
            <w:r>
              <w:rPr>
                <w:rFonts w:hint="eastAsia"/>
                <w:color w:val="000000"/>
                <w:kern w:val="0"/>
                <w:szCs w:val="21"/>
                <w:highlight w:val="yellow"/>
              </w:rPr>
              <w:t>23</w:t>
            </w:r>
            <w:r>
              <w:rPr>
                <w:color w:val="000000"/>
                <w:kern w:val="0"/>
                <w:szCs w:val="21"/>
                <w:highlight w:val="yellow"/>
              </w:rPr>
              <w:t>.</w:t>
            </w:r>
            <w:r>
              <w:rPr>
                <w:rFonts w:hint="eastAsia"/>
                <w:color w:val="000000"/>
                <w:kern w:val="0"/>
                <w:szCs w:val="21"/>
                <w:highlight w:val="yellow"/>
              </w:rPr>
              <w:t>9</w:t>
            </w:r>
            <w:r>
              <w:rPr>
                <w:color w:val="000000"/>
                <w:kern w:val="0"/>
                <w:szCs w:val="21"/>
                <w:highlight w:val="yellow"/>
              </w:rPr>
              <w:t>±</w:t>
            </w:r>
            <w:r>
              <w:rPr>
                <w:rFonts w:hint="eastAsia"/>
                <w:color w:val="000000"/>
                <w:kern w:val="0"/>
                <w:szCs w:val="21"/>
                <w:highlight w:val="yellow"/>
              </w:rPr>
              <w:t>5</w:t>
            </w:r>
            <w:r>
              <w:rPr>
                <w:color w:val="000000"/>
                <w:kern w:val="0"/>
                <w:szCs w:val="21"/>
                <w:highlight w:val="yellow"/>
              </w:rPr>
              <w:t>.</w:t>
            </w:r>
            <w:r>
              <w:rPr>
                <w:rFonts w:hint="eastAsia"/>
                <w:color w:val="000000"/>
                <w:kern w:val="0"/>
                <w:szCs w:val="21"/>
                <w:highlight w:val="yellow"/>
              </w:rPr>
              <w:t>6</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2" w:hRule="atLeast"/>
          <w:jc w:val="center"/>
        </w:trPr>
        <w:tc>
          <w:tcPr>
            <w:tcW w:w="928" w:type="dxa"/>
          </w:tcPr>
          <w:p>
            <w:pPr>
              <w:jc w:val="center"/>
              <w:rPr>
                <w:color w:val="000000"/>
                <w:kern w:val="0"/>
                <w:szCs w:val="21"/>
              </w:rPr>
            </w:pPr>
            <w:r>
              <w:rPr>
                <w:rFonts w:hint="eastAsia"/>
                <w:color w:val="000000"/>
                <w:kern w:val="0"/>
                <w:szCs w:val="21"/>
              </w:rPr>
              <w:t>观察组</w:t>
            </w:r>
          </w:p>
        </w:tc>
        <w:tc>
          <w:tcPr>
            <w:tcW w:w="720" w:type="dxa"/>
          </w:tcPr>
          <w:p>
            <w:pPr>
              <w:jc w:val="center"/>
              <w:rPr>
                <w:color w:val="000000"/>
                <w:kern w:val="0"/>
                <w:szCs w:val="21"/>
              </w:rPr>
            </w:pPr>
            <w:r>
              <w:rPr>
                <w:rFonts w:hint="eastAsia"/>
                <w:color w:val="000000"/>
                <w:kern w:val="0"/>
                <w:szCs w:val="21"/>
              </w:rPr>
              <w:t>56</w:t>
            </w:r>
          </w:p>
        </w:tc>
        <w:tc>
          <w:tcPr>
            <w:tcW w:w="1260" w:type="dxa"/>
          </w:tcPr>
          <w:p>
            <w:pPr>
              <w:jc w:val="center"/>
              <w:rPr>
                <w:rFonts w:hint="eastAsia"/>
                <w:color w:val="000000"/>
                <w:kern w:val="0"/>
                <w:szCs w:val="21"/>
              </w:rPr>
            </w:pPr>
            <w:r>
              <w:rPr>
                <w:color w:val="000000"/>
                <w:kern w:val="0"/>
                <w:szCs w:val="21"/>
              </w:rPr>
              <w:t>1.35±0.15</w:t>
            </w:r>
          </w:p>
        </w:tc>
        <w:tc>
          <w:tcPr>
            <w:tcW w:w="1133" w:type="dxa"/>
          </w:tcPr>
          <w:p>
            <w:pPr>
              <w:jc w:val="center"/>
              <w:rPr>
                <w:rFonts w:hint="eastAsia"/>
                <w:color w:val="000000"/>
                <w:kern w:val="0"/>
                <w:szCs w:val="21"/>
              </w:rPr>
            </w:pPr>
            <w:r>
              <w:rPr>
                <w:color w:val="000000"/>
                <w:kern w:val="0"/>
                <w:szCs w:val="21"/>
              </w:rPr>
              <w:t>1.72±0.21</w:t>
            </w:r>
          </w:p>
        </w:tc>
        <w:tc>
          <w:tcPr>
            <w:tcW w:w="1207" w:type="dxa"/>
          </w:tcPr>
          <w:p>
            <w:pPr>
              <w:jc w:val="center"/>
              <w:rPr>
                <w:rFonts w:hint="eastAsia"/>
                <w:color w:val="000000"/>
                <w:kern w:val="0"/>
                <w:szCs w:val="21"/>
              </w:rPr>
            </w:pPr>
            <w:r>
              <w:rPr>
                <w:color w:val="000000"/>
                <w:kern w:val="0"/>
                <w:szCs w:val="21"/>
              </w:rPr>
              <w:t>59.8±1.41</w:t>
            </w:r>
          </w:p>
        </w:tc>
        <w:tc>
          <w:tcPr>
            <w:tcW w:w="1080" w:type="dxa"/>
          </w:tcPr>
          <w:p>
            <w:pPr>
              <w:jc w:val="center"/>
              <w:rPr>
                <w:rFonts w:hint="eastAsia"/>
                <w:color w:val="000000"/>
                <w:kern w:val="0"/>
                <w:szCs w:val="21"/>
              </w:rPr>
            </w:pPr>
            <w:r>
              <w:rPr>
                <w:color w:val="000000"/>
                <w:kern w:val="0"/>
                <w:szCs w:val="21"/>
              </w:rPr>
              <w:t>80.8±1.63</w:t>
            </w:r>
          </w:p>
        </w:tc>
        <w:tc>
          <w:tcPr>
            <w:tcW w:w="1313" w:type="dxa"/>
          </w:tcPr>
          <w:p>
            <w:pPr>
              <w:jc w:val="center"/>
              <w:rPr>
                <w:rFonts w:hint="eastAsia"/>
                <w:color w:val="000000"/>
                <w:kern w:val="0"/>
                <w:szCs w:val="21"/>
                <w:highlight w:val="yellow"/>
              </w:rPr>
            </w:pPr>
            <w:r>
              <w:rPr>
                <w:rFonts w:hint="eastAsia"/>
                <w:color w:val="000000"/>
                <w:kern w:val="0"/>
                <w:szCs w:val="21"/>
                <w:highlight w:val="yellow"/>
              </w:rPr>
              <w:t>20</w:t>
            </w:r>
            <w:r>
              <w:rPr>
                <w:color w:val="000000"/>
                <w:kern w:val="0"/>
                <w:szCs w:val="21"/>
                <w:highlight w:val="yellow"/>
              </w:rPr>
              <w:t>.</w:t>
            </w:r>
            <w:r>
              <w:rPr>
                <w:rFonts w:hint="eastAsia"/>
                <w:color w:val="000000"/>
                <w:kern w:val="0"/>
                <w:szCs w:val="21"/>
                <w:highlight w:val="yellow"/>
              </w:rPr>
              <w:t>4</w:t>
            </w:r>
            <w:r>
              <w:rPr>
                <w:color w:val="000000"/>
                <w:kern w:val="0"/>
                <w:szCs w:val="21"/>
                <w:highlight w:val="yellow"/>
              </w:rPr>
              <w:t>±</w:t>
            </w:r>
            <w:r>
              <w:rPr>
                <w:rFonts w:hint="eastAsia"/>
                <w:color w:val="000000"/>
                <w:kern w:val="0"/>
                <w:szCs w:val="21"/>
                <w:highlight w:val="yellow"/>
              </w:rPr>
              <w:t>3</w:t>
            </w:r>
            <w:r>
              <w:rPr>
                <w:color w:val="000000"/>
                <w:kern w:val="0"/>
                <w:szCs w:val="21"/>
                <w:highlight w:val="yellow"/>
              </w:rPr>
              <w:t>.</w:t>
            </w:r>
            <w:r>
              <w:rPr>
                <w:rFonts w:hint="eastAsia"/>
                <w:color w:val="000000"/>
                <w:kern w:val="0"/>
                <w:szCs w:val="21"/>
                <w:highlight w:val="yellow"/>
              </w:rPr>
              <w:t>9</w:t>
            </w:r>
          </w:p>
        </w:tc>
        <w:tc>
          <w:tcPr>
            <w:tcW w:w="1207" w:type="dxa"/>
          </w:tcPr>
          <w:p>
            <w:pPr>
              <w:jc w:val="center"/>
              <w:rPr>
                <w:rFonts w:hint="eastAsia"/>
                <w:color w:val="000000"/>
                <w:kern w:val="0"/>
                <w:szCs w:val="21"/>
                <w:highlight w:val="yellow"/>
              </w:rPr>
            </w:pPr>
            <w:r>
              <w:rPr>
                <w:rFonts w:hint="eastAsia"/>
                <w:color w:val="000000"/>
                <w:kern w:val="0"/>
                <w:szCs w:val="21"/>
                <w:highlight w:val="yellow"/>
              </w:rPr>
              <w:t>16</w:t>
            </w:r>
            <w:r>
              <w:rPr>
                <w:color w:val="000000"/>
                <w:kern w:val="0"/>
                <w:szCs w:val="21"/>
                <w:highlight w:val="yellow"/>
              </w:rPr>
              <w:t>.</w:t>
            </w:r>
            <w:r>
              <w:rPr>
                <w:rFonts w:hint="eastAsia"/>
                <w:color w:val="000000"/>
                <w:kern w:val="0"/>
                <w:szCs w:val="21"/>
                <w:highlight w:val="yellow"/>
              </w:rPr>
              <w:t>7</w:t>
            </w:r>
            <w:r>
              <w:rPr>
                <w:color w:val="000000"/>
                <w:kern w:val="0"/>
                <w:szCs w:val="21"/>
                <w:highlight w:val="yellow"/>
              </w:rPr>
              <w:t>±</w:t>
            </w:r>
            <w:r>
              <w:rPr>
                <w:rFonts w:hint="eastAsia"/>
                <w:color w:val="000000"/>
                <w:kern w:val="0"/>
                <w:szCs w:val="21"/>
                <w:highlight w:val="yellow"/>
              </w:rPr>
              <w:t>4</w:t>
            </w:r>
            <w:r>
              <w:rPr>
                <w:color w:val="000000"/>
                <w:kern w:val="0"/>
                <w:szCs w:val="21"/>
                <w:highlight w:val="yellow"/>
              </w:rPr>
              <w:t>.3</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2" w:hRule="atLeast"/>
          <w:jc w:val="center"/>
        </w:trPr>
        <w:tc>
          <w:tcPr>
            <w:tcW w:w="928" w:type="dxa"/>
          </w:tcPr>
          <w:p>
            <w:pPr>
              <w:jc w:val="center"/>
              <w:rPr>
                <w:rFonts w:hint="eastAsia"/>
                <w:color w:val="000000"/>
                <w:kern w:val="0"/>
                <w:szCs w:val="21"/>
              </w:rPr>
            </w:pPr>
            <w:r>
              <w:rPr>
                <w:rFonts w:hint="eastAsia"/>
                <w:color w:val="000000"/>
                <w:kern w:val="0"/>
                <w:szCs w:val="21"/>
              </w:rPr>
              <w:t>t</w:t>
            </w:r>
          </w:p>
        </w:tc>
        <w:tc>
          <w:tcPr>
            <w:tcW w:w="720" w:type="dxa"/>
          </w:tcPr>
          <w:p>
            <w:pPr>
              <w:jc w:val="center"/>
              <w:rPr>
                <w:rFonts w:hint="eastAsia"/>
                <w:color w:val="000000"/>
                <w:kern w:val="0"/>
                <w:szCs w:val="21"/>
              </w:rPr>
            </w:pPr>
          </w:p>
        </w:tc>
        <w:tc>
          <w:tcPr>
            <w:tcW w:w="1260" w:type="dxa"/>
          </w:tcPr>
          <w:p>
            <w:pPr>
              <w:jc w:val="center"/>
              <w:rPr>
                <w:rFonts w:hint="eastAsia"/>
                <w:color w:val="000000"/>
                <w:kern w:val="0"/>
                <w:szCs w:val="21"/>
              </w:rPr>
            </w:pPr>
            <w:r>
              <w:rPr>
                <w:rFonts w:hint="eastAsia"/>
                <w:color w:val="000000"/>
                <w:kern w:val="0"/>
                <w:szCs w:val="21"/>
              </w:rPr>
              <w:t>0.46</w:t>
            </w:r>
          </w:p>
        </w:tc>
        <w:tc>
          <w:tcPr>
            <w:tcW w:w="1133" w:type="dxa"/>
          </w:tcPr>
          <w:p>
            <w:pPr>
              <w:jc w:val="center"/>
              <w:rPr>
                <w:rFonts w:hint="eastAsia"/>
                <w:color w:val="000000"/>
                <w:kern w:val="0"/>
                <w:szCs w:val="21"/>
              </w:rPr>
            </w:pPr>
            <w:r>
              <w:rPr>
                <w:rFonts w:hint="eastAsia"/>
                <w:color w:val="000000"/>
                <w:kern w:val="0"/>
                <w:szCs w:val="21"/>
              </w:rPr>
              <w:t>8.41</w:t>
            </w:r>
          </w:p>
        </w:tc>
        <w:tc>
          <w:tcPr>
            <w:tcW w:w="1207" w:type="dxa"/>
          </w:tcPr>
          <w:p>
            <w:pPr>
              <w:jc w:val="center"/>
              <w:rPr>
                <w:rFonts w:hint="eastAsia"/>
                <w:color w:val="000000"/>
                <w:kern w:val="0"/>
                <w:szCs w:val="21"/>
              </w:rPr>
            </w:pPr>
            <w:r>
              <w:rPr>
                <w:rFonts w:hint="eastAsia"/>
                <w:color w:val="000000"/>
                <w:kern w:val="0"/>
                <w:szCs w:val="21"/>
              </w:rPr>
              <w:t>1.42</w:t>
            </w:r>
          </w:p>
        </w:tc>
        <w:tc>
          <w:tcPr>
            <w:tcW w:w="1080" w:type="dxa"/>
          </w:tcPr>
          <w:p>
            <w:pPr>
              <w:jc w:val="center"/>
              <w:rPr>
                <w:rFonts w:hint="eastAsia"/>
                <w:color w:val="000000"/>
                <w:kern w:val="0"/>
                <w:szCs w:val="21"/>
              </w:rPr>
            </w:pPr>
            <w:r>
              <w:rPr>
                <w:rFonts w:hint="eastAsia"/>
                <w:color w:val="000000"/>
                <w:kern w:val="0"/>
                <w:szCs w:val="21"/>
              </w:rPr>
              <w:t>6.85</w:t>
            </w:r>
          </w:p>
        </w:tc>
        <w:tc>
          <w:tcPr>
            <w:tcW w:w="1313" w:type="dxa"/>
          </w:tcPr>
          <w:p>
            <w:pPr>
              <w:jc w:val="center"/>
              <w:rPr>
                <w:rFonts w:hint="eastAsia"/>
                <w:color w:val="000000"/>
                <w:kern w:val="0"/>
                <w:szCs w:val="21"/>
                <w:highlight w:val="yellow"/>
              </w:rPr>
            </w:pPr>
            <w:r>
              <w:rPr>
                <w:rFonts w:hint="eastAsia"/>
                <w:color w:val="000000"/>
                <w:kern w:val="0"/>
                <w:szCs w:val="21"/>
                <w:highlight w:val="yellow"/>
              </w:rPr>
              <w:t>1.21</w:t>
            </w:r>
          </w:p>
        </w:tc>
        <w:tc>
          <w:tcPr>
            <w:tcW w:w="1207" w:type="dxa"/>
          </w:tcPr>
          <w:p>
            <w:pPr>
              <w:jc w:val="center"/>
              <w:rPr>
                <w:rFonts w:hint="eastAsia"/>
                <w:color w:val="000000"/>
                <w:kern w:val="0"/>
                <w:szCs w:val="21"/>
                <w:highlight w:val="yellow"/>
              </w:rPr>
            </w:pPr>
            <w:r>
              <w:rPr>
                <w:rFonts w:hint="eastAsia"/>
                <w:color w:val="000000"/>
                <w:kern w:val="0"/>
                <w:szCs w:val="21"/>
                <w:highlight w:val="yellow"/>
              </w:rPr>
              <w:t>7.21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2" w:hRule="atLeast"/>
          <w:jc w:val="center"/>
        </w:trPr>
        <w:tc>
          <w:tcPr>
            <w:tcW w:w="928" w:type="dxa"/>
          </w:tcPr>
          <w:p>
            <w:pPr>
              <w:jc w:val="center"/>
              <w:rPr>
                <w:color w:val="000000"/>
                <w:kern w:val="0"/>
                <w:szCs w:val="21"/>
              </w:rPr>
            </w:pPr>
            <w:r>
              <w:rPr>
                <w:rFonts w:hint="eastAsia"/>
                <w:color w:val="000000"/>
                <w:kern w:val="0"/>
                <w:szCs w:val="21"/>
              </w:rPr>
              <w:t>P值</w:t>
            </w:r>
          </w:p>
        </w:tc>
        <w:tc>
          <w:tcPr>
            <w:tcW w:w="720" w:type="dxa"/>
          </w:tcPr>
          <w:p>
            <w:pPr>
              <w:jc w:val="center"/>
              <w:rPr>
                <w:rFonts w:hint="eastAsia"/>
                <w:color w:val="000000"/>
                <w:kern w:val="0"/>
                <w:szCs w:val="21"/>
              </w:rPr>
            </w:pPr>
          </w:p>
        </w:tc>
        <w:tc>
          <w:tcPr>
            <w:tcW w:w="1260" w:type="dxa"/>
          </w:tcPr>
          <w:p>
            <w:pPr>
              <w:jc w:val="center"/>
              <w:rPr>
                <w:rFonts w:hint="eastAsia"/>
                <w:color w:val="000000"/>
                <w:kern w:val="0"/>
                <w:szCs w:val="21"/>
              </w:rPr>
            </w:pPr>
            <w:r>
              <w:rPr>
                <w:rFonts w:hint="eastAsia"/>
                <w:color w:val="000000"/>
                <w:kern w:val="0"/>
                <w:szCs w:val="21"/>
              </w:rPr>
              <w:t>＞0.05</w:t>
            </w:r>
          </w:p>
        </w:tc>
        <w:tc>
          <w:tcPr>
            <w:tcW w:w="1133" w:type="dxa"/>
          </w:tcPr>
          <w:p>
            <w:pPr>
              <w:jc w:val="center"/>
              <w:rPr>
                <w:rFonts w:hint="eastAsia"/>
                <w:color w:val="000000"/>
                <w:kern w:val="0"/>
                <w:szCs w:val="21"/>
              </w:rPr>
            </w:pPr>
            <w:r>
              <w:rPr>
                <w:rFonts w:hint="eastAsia"/>
                <w:color w:val="000000"/>
                <w:kern w:val="0"/>
                <w:szCs w:val="21"/>
              </w:rPr>
              <w:t>＜0.05</w:t>
            </w:r>
          </w:p>
        </w:tc>
        <w:tc>
          <w:tcPr>
            <w:tcW w:w="1207" w:type="dxa"/>
          </w:tcPr>
          <w:p>
            <w:pPr>
              <w:jc w:val="center"/>
              <w:rPr>
                <w:rFonts w:hint="eastAsia"/>
                <w:color w:val="000000"/>
                <w:kern w:val="0"/>
                <w:szCs w:val="21"/>
              </w:rPr>
            </w:pPr>
            <w:r>
              <w:rPr>
                <w:rFonts w:hint="eastAsia"/>
                <w:color w:val="000000"/>
                <w:kern w:val="0"/>
                <w:szCs w:val="21"/>
              </w:rPr>
              <w:t>＞0.05</w:t>
            </w:r>
          </w:p>
        </w:tc>
        <w:tc>
          <w:tcPr>
            <w:tcW w:w="1080" w:type="dxa"/>
          </w:tcPr>
          <w:p>
            <w:pPr>
              <w:jc w:val="center"/>
              <w:rPr>
                <w:rFonts w:hint="eastAsia"/>
                <w:color w:val="000000"/>
                <w:kern w:val="0"/>
                <w:szCs w:val="21"/>
              </w:rPr>
            </w:pPr>
            <w:r>
              <w:rPr>
                <w:rFonts w:hint="eastAsia"/>
                <w:color w:val="000000"/>
                <w:kern w:val="0"/>
                <w:szCs w:val="21"/>
              </w:rPr>
              <w:t>＜0.05</w:t>
            </w:r>
          </w:p>
        </w:tc>
        <w:tc>
          <w:tcPr>
            <w:tcW w:w="1313" w:type="dxa"/>
          </w:tcPr>
          <w:p>
            <w:pPr>
              <w:jc w:val="center"/>
              <w:rPr>
                <w:rFonts w:hint="eastAsia"/>
                <w:color w:val="000000"/>
                <w:kern w:val="0"/>
                <w:szCs w:val="21"/>
                <w:highlight w:val="yellow"/>
              </w:rPr>
            </w:pPr>
            <w:r>
              <w:rPr>
                <w:rFonts w:hint="eastAsia"/>
                <w:color w:val="000000"/>
                <w:kern w:val="0"/>
                <w:szCs w:val="21"/>
                <w:highlight w:val="yellow"/>
              </w:rPr>
              <w:t>＞0.05</w:t>
            </w:r>
          </w:p>
        </w:tc>
        <w:tc>
          <w:tcPr>
            <w:tcW w:w="1207" w:type="dxa"/>
          </w:tcPr>
          <w:p>
            <w:pPr>
              <w:jc w:val="center"/>
              <w:rPr>
                <w:rFonts w:hint="eastAsia"/>
                <w:color w:val="000000"/>
                <w:kern w:val="0"/>
                <w:szCs w:val="21"/>
                <w:highlight w:val="yellow"/>
              </w:rPr>
            </w:pPr>
            <w:r>
              <w:rPr>
                <w:rFonts w:hint="eastAsia"/>
                <w:color w:val="000000"/>
                <w:kern w:val="0"/>
                <w:szCs w:val="21"/>
                <w:highlight w:val="yellow"/>
              </w:rPr>
              <w:t>＜0.01</w:t>
            </w:r>
          </w:p>
        </w:tc>
      </w:tr>
    </w:tbl>
    <w:p>
      <w:pPr>
        <w:rPr>
          <w:rFonts w:hint="eastAsia"/>
          <w:bCs/>
          <w:color w:val="00B0F0"/>
          <w:sz w:val="24"/>
        </w:rPr>
      </w:pPr>
      <w:r>
        <w:rPr>
          <w:bCs/>
          <w:color w:val="00B0F0"/>
          <w:sz w:val="24"/>
        </w:rPr>
        <w:t>2.</w:t>
      </w:r>
      <w:r>
        <w:rPr>
          <w:rFonts w:hint="eastAsia"/>
          <w:bCs/>
          <w:color w:val="00B0F0"/>
          <w:sz w:val="24"/>
        </w:rPr>
        <w:t>3</w:t>
      </w:r>
      <w:r>
        <w:rPr>
          <w:bCs/>
          <w:color w:val="00B0F0"/>
          <w:sz w:val="24"/>
        </w:rPr>
        <w:t>两组</w:t>
      </w:r>
      <w:r>
        <w:rPr>
          <w:rFonts w:hint="eastAsia"/>
          <w:bCs/>
          <w:color w:val="00B0F0"/>
          <w:sz w:val="24"/>
        </w:rPr>
        <w:t>重度</w:t>
      </w:r>
      <w:r>
        <w:rPr>
          <w:bCs/>
          <w:color w:val="00B0F0"/>
          <w:sz w:val="24"/>
        </w:rPr>
        <w:t>患者</w:t>
      </w:r>
      <w:r>
        <w:rPr>
          <w:rFonts w:hint="eastAsia"/>
          <w:bCs/>
          <w:color w:val="00B0F0"/>
          <w:sz w:val="24"/>
        </w:rPr>
        <w:t>治疗前后的动脉血气指标及PEF变异率对比</w:t>
      </w:r>
    </w:p>
    <w:p>
      <w:pPr>
        <w:ind w:firstLine="480" w:firstLineChars="200"/>
        <w:rPr>
          <w:rFonts w:hint="eastAsia"/>
          <w:bCs/>
          <w:color w:val="00B0F0"/>
          <w:sz w:val="24"/>
        </w:rPr>
      </w:pPr>
      <w:r>
        <w:rPr>
          <w:rFonts w:hint="eastAsia"/>
          <w:bCs/>
          <w:color w:val="00B0F0"/>
          <w:sz w:val="24"/>
        </w:rPr>
        <w:t>治疗后，观察组重度患者</w:t>
      </w:r>
      <w:r>
        <w:rPr>
          <w:bCs/>
          <w:color w:val="00B0F0"/>
          <w:sz w:val="24"/>
        </w:rPr>
        <w:t>PaO</w:t>
      </w:r>
      <w:r>
        <w:rPr>
          <w:bCs/>
          <w:color w:val="00B0F0"/>
          <w:sz w:val="24"/>
          <w:vertAlign w:val="subscript"/>
        </w:rPr>
        <w:t>2</w:t>
      </w:r>
      <w:r>
        <w:rPr>
          <w:rFonts w:hint="eastAsia"/>
          <w:bCs/>
          <w:color w:val="00B0F0"/>
          <w:sz w:val="24"/>
        </w:rPr>
        <w:t>升高程度大于对照组，差异具有统计学意义(P＜0.05)；其他动脉血气指标，两组重度患者治疗前后差异无统计学意义(P＞0.05)；观察组重度患者PEF变异率为34.58%，大于对照组的16.35%，差异具有统计学意义(P＜0.05)；详情见表2。</w:t>
      </w:r>
    </w:p>
    <w:p>
      <w:pPr>
        <w:ind w:firstLine="600" w:firstLineChars="250"/>
        <w:jc w:val="center"/>
        <w:rPr>
          <w:bCs/>
          <w:color w:val="00B0F0"/>
          <w:sz w:val="24"/>
        </w:rPr>
      </w:pPr>
      <w:r>
        <w:rPr>
          <w:bCs/>
          <w:color w:val="00B0F0"/>
          <w:sz w:val="24"/>
        </w:rPr>
        <w:t>表</w:t>
      </w:r>
      <w:r>
        <w:rPr>
          <w:rFonts w:hint="eastAsia"/>
          <w:bCs/>
          <w:color w:val="00B0F0"/>
          <w:sz w:val="24"/>
        </w:rPr>
        <w:t>2</w:t>
      </w:r>
      <w:r>
        <w:rPr>
          <w:bCs/>
          <w:color w:val="00B0F0"/>
          <w:sz w:val="24"/>
        </w:rPr>
        <w:t xml:space="preserve">  </w:t>
      </w:r>
      <w:r>
        <w:rPr>
          <w:rFonts w:hint="eastAsia"/>
          <w:bCs/>
          <w:color w:val="00B0F0"/>
          <w:sz w:val="24"/>
        </w:rPr>
        <w:t>两组重度患者治疗前后的动脉血气指标对比</w:t>
      </w:r>
    </w:p>
    <w:tbl>
      <w:tblPr>
        <w:tblStyle w:val="10"/>
        <w:tblW w:w="8105" w:type="dxa"/>
        <w:jc w:val="center"/>
        <w:tblInd w:w="0" w:type="dxa"/>
        <w:tblLayout w:type="fixed"/>
        <w:tblCellMar>
          <w:top w:w="0" w:type="dxa"/>
          <w:left w:w="108" w:type="dxa"/>
          <w:bottom w:w="0" w:type="dxa"/>
          <w:right w:w="108" w:type="dxa"/>
        </w:tblCellMar>
      </w:tblPr>
      <w:tblGrid>
        <w:gridCol w:w="1034"/>
        <w:gridCol w:w="993"/>
        <w:gridCol w:w="1519"/>
        <w:gridCol w:w="1520"/>
        <w:gridCol w:w="1355"/>
        <w:gridCol w:w="1684"/>
      </w:tblGrid>
      <w:tr>
        <w:tblPrEx>
          <w:tblLayout w:type="fixed"/>
          <w:tblCellMar>
            <w:top w:w="0" w:type="dxa"/>
            <w:left w:w="108" w:type="dxa"/>
            <w:bottom w:w="0" w:type="dxa"/>
            <w:right w:w="108" w:type="dxa"/>
          </w:tblCellMar>
        </w:tblPrEx>
        <w:trPr>
          <w:trHeight w:val="316" w:hRule="atLeast"/>
          <w:jc w:val="center"/>
        </w:trPr>
        <w:tc>
          <w:tcPr>
            <w:tcW w:w="1034" w:type="dxa"/>
            <w:tcBorders>
              <w:top w:val="single" w:color="auto" w:sz="12" w:space="0"/>
              <w:bottom w:val="single" w:color="auto" w:sz="4" w:space="0"/>
            </w:tcBorders>
          </w:tcPr>
          <w:p>
            <w:pPr>
              <w:jc w:val="center"/>
              <w:rPr>
                <w:color w:val="00B0F0"/>
                <w:kern w:val="0"/>
                <w:szCs w:val="21"/>
              </w:rPr>
            </w:pPr>
            <w:r>
              <w:rPr>
                <w:color w:val="00B0F0"/>
                <w:kern w:val="0"/>
                <w:szCs w:val="21"/>
              </w:rPr>
              <w:t>组别</w:t>
            </w:r>
          </w:p>
        </w:tc>
        <w:tc>
          <w:tcPr>
            <w:tcW w:w="993" w:type="dxa"/>
            <w:tcBorders>
              <w:top w:val="single" w:color="auto" w:sz="12" w:space="0"/>
              <w:bottom w:val="single" w:color="auto" w:sz="4" w:space="0"/>
            </w:tcBorders>
          </w:tcPr>
          <w:p>
            <w:pPr>
              <w:rPr>
                <w:color w:val="00B0F0"/>
                <w:kern w:val="0"/>
                <w:szCs w:val="21"/>
              </w:rPr>
            </w:pPr>
          </w:p>
        </w:tc>
        <w:tc>
          <w:tcPr>
            <w:tcW w:w="1519" w:type="dxa"/>
            <w:tcBorders>
              <w:top w:val="single" w:color="auto" w:sz="12" w:space="0"/>
              <w:bottom w:val="single" w:color="auto" w:sz="4" w:space="0"/>
            </w:tcBorders>
          </w:tcPr>
          <w:p>
            <w:pPr>
              <w:jc w:val="center"/>
              <w:rPr>
                <w:color w:val="00B0F0"/>
                <w:kern w:val="0"/>
                <w:szCs w:val="21"/>
              </w:rPr>
            </w:pPr>
            <w:r>
              <w:rPr>
                <w:color w:val="00B0F0"/>
                <w:kern w:val="0"/>
                <w:szCs w:val="21"/>
              </w:rPr>
              <w:t>PaO</w:t>
            </w:r>
            <w:r>
              <w:rPr>
                <w:color w:val="00B0F0"/>
                <w:kern w:val="0"/>
                <w:szCs w:val="21"/>
                <w:vertAlign w:val="subscript"/>
              </w:rPr>
              <w:t>2</w:t>
            </w:r>
            <w:r>
              <w:rPr>
                <w:color w:val="00B0F0"/>
                <w:kern w:val="0"/>
                <w:szCs w:val="21"/>
              </w:rPr>
              <w:t>(mmHg)</w:t>
            </w:r>
          </w:p>
        </w:tc>
        <w:tc>
          <w:tcPr>
            <w:tcW w:w="1520" w:type="dxa"/>
            <w:tcBorders>
              <w:top w:val="single" w:color="auto" w:sz="12" w:space="0"/>
              <w:bottom w:val="single" w:color="auto" w:sz="4" w:space="0"/>
            </w:tcBorders>
            <w:vAlign w:val="center"/>
          </w:tcPr>
          <w:p>
            <w:pPr>
              <w:jc w:val="center"/>
              <w:rPr>
                <w:color w:val="00B0F0"/>
                <w:kern w:val="0"/>
                <w:szCs w:val="21"/>
                <w:vertAlign w:val="subscript"/>
              </w:rPr>
            </w:pPr>
            <w:r>
              <w:rPr>
                <w:color w:val="00B0F0"/>
                <w:kern w:val="0"/>
                <w:szCs w:val="21"/>
              </w:rPr>
              <w:t>Pa</w:t>
            </w:r>
            <w:r>
              <w:rPr>
                <w:rFonts w:hint="eastAsia"/>
                <w:color w:val="00B0F0"/>
                <w:kern w:val="0"/>
                <w:szCs w:val="21"/>
              </w:rPr>
              <w:t>C</w:t>
            </w:r>
            <w:r>
              <w:rPr>
                <w:color w:val="00B0F0"/>
                <w:kern w:val="0"/>
                <w:szCs w:val="21"/>
              </w:rPr>
              <w:t>O</w:t>
            </w:r>
            <w:r>
              <w:rPr>
                <w:color w:val="00B0F0"/>
                <w:kern w:val="0"/>
                <w:szCs w:val="21"/>
                <w:vertAlign w:val="subscript"/>
              </w:rPr>
              <w:t>2</w:t>
            </w:r>
            <w:r>
              <w:rPr>
                <w:color w:val="00B0F0"/>
                <w:kern w:val="0"/>
                <w:szCs w:val="21"/>
              </w:rPr>
              <w:t>(mmHg)</w:t>
            </w:r>
          </w:p>
        </w:tc>
        <w:tc>
          <w:tcPr>
            <w:tcW w:w="1355" w:type="dxa"/>
            <w:tcBorders>
              <w:top w:val="single" w:color="auto" w:sz="12" w:space="0"/>
              <w:bottom w:val="single" w:color="auto" w:sz="4" w:space="0"/>
            </w:tcBorders>
          </w:tcPr>
          <w:p>
            <w:pPr>
              <w:jc w:val="center"/>
              <w:rPr>
                <w:color w:val="00B0F0"/>
                <w:kern w:val="0"/>
                <w:szCs w:val="21"/>
              </w:rPr>
            </w:pPr>
            <w:r>
              <w:rPr>
                <w:rFonts w:hint="eastAsia"/>
                <w:color w:val="00B0F0"/>
                <w:kern w:val="0"/>
                <w:szCs w:val="21"/>
              </w:rPr>
              <w:t>PH值</w:t>
            </w:r>
          </w:p>
        </w:tc>
        <w:tc>
          <w:tcPr>
            <w:tcW w:w="1684" w:type="dxa"/>
            <w:tcBorders>
              <w:top w:val="single" w:color="auto" w:sz="12" w:space="0"/>
              <w:bottom w:val="single" w:color="auto" w:sz="4" w:space="0"/>
            </w:tcBorders>
            <w:vAlign w:val="center"/>
          </w:tcPr>
          <w:p>
            <w:pPr>
              <w:jc w:val="center"/>
              <w:rPr>
                <w:color w:val="00B0F0"/>
                <w:kern w:val="0"/>
                <w:szCs w:val="21"/>
              </w:rPr>
            </w:pPr>
            <w:r>
              <w:rPr>
                <w:color w:val="00B0F0"/>
                <w:kern w:val="0"/>
                <w:szCs w:val="21"/>
              </w:rPr>
              <w:t>HCO</w:t>
            </w:r>
            <w:r>
              <w:rPr>
                <w:rFonts w:hint="eastAsia"/>
                <w:color w:val="00B0F0"/>
                <w:kern w:val="0"/>
                <w:szCs w:val="21"/>
              </w:rPr>
              <w:t>3</w:t>
            </w:r>
            <w:r>
              <w:rPr>
                <w:rFonts w:hint="eastAsia"/>
                <w:color w:val="00B0F0"/>
                <w:kern w:val="0"/>
                <w:szCs w:val="21"/>
                <w:vertAlign w:val="superscript"/>
              </w:rPr>
              <w:t>-</w:t>
            </w:r>
            <w:r>
              <w:rPr>
                <w:color w:val="00B0F0"/>
                <w:kern w:val="0"/>
                <w:szCs w:val="21"/>
              </w:rPr>
              <w:t>(mm</w:t>
            </w:r>
            <w:r>
              <w:rPr>
                <w:rFonts w:hint="eastAsia"/>
                <w:color w:val="00B0F0"/>
                <w:kern w:val="0"/>
                <w:szCs w:val="21"/>
              </w:rPr>
              <w:t>ol/L</w:t>
            </w:r>
            <w:r>
              <w:rPr>
                <w:color w:val="00B0F0"/>
                <w:kern w:val="0"/>
                <w:szCs w:val="21"/>
              </w:rPr>
              <w:t>)</w:t>
            </w:r>
          </w:p>
        </w:tc>
      </w:tr>
      <w:tr>
        <w:tblPrEx>
          <w:tblLayout w:type="fixed"/>
          <w:tblCellMar>
            <w:top w:w="0" w:type="dxa"/>
            <w:left w:w="108" w:type="dxa"/>
            <w:bottom w:w="0" w:type="dxa"/>
            <w:right w:w="108" w:type="dxa"/>
          </w:tblCellMar>
        </w:tblPrEx>
        <w:trPr>
          <w:trHeight w:val="316" w:hRule="atLeast"/>
          <w:jc w:val="center"/>
        </w:trPr>
        <w:tc>
          <w:tcPr>
            <w:tcW w:w="1034" w:type="dxa"/>
            <w:vMerge w:val="restart"/>
            <w:tcBorders>
              <w:top w:val="single" w:color="auto" w:sz="4" w:space="0"/>
            </w:tcBorders>
            <w:vAlign w:val="center"/>
          </w:tcPr>
          <w:p>
            <w:pPr>
              <w:jc w:val="center"/>
              <w:rPr>
                <w:color w:val="00B0F0"/>
                <w:kern w:val="0"/>
                <w:szCs w:val="21"/>
              </w:rPr>
            </w:pPr>
            <w:r>
              <w:rPr>
                <w:color w:val="00B0F0"/>
                <w:kern w:val="0"/>
                <w:szCs w:val="21"/>
              </w:rPr>
              <w:t>对照组</w:t>
            </w:r>
          </w:p>
        </w:tc>
        <w:tc>
          <w:tcPr>
            <w:tcW w:w="993" w:type="dxa"/>
            <w:tcBorders>
              <w:top w:val="single" w:color="auto" w:sz="4" w:space="0"/>
            </w:tcBorders>
          </w:tcPr>
          <w:p>
            <w:pPr>
              <w:jc w:val="center"/>
              <w:rPr>
                <w:color w:val="00B0F0"/>
                <w:kern w:val="0"/>
                <w:szCs w:val="21"/>
              </w:rPr>
            </w:pPr>
            <w:r>
              <w:rPr>
                <w:rFonts w:hint="eastAsia"/>
                <w:color w:val="00B0F0"/>
                <w:kern w:val="0"/>
                <w:szCs w:val="21"/>
              </w:rPr>
              <w:t>治疗</w:t>
            </w:r>
            <w:r>
              <w:rPr>
                <w:color w:val="00B0F0"/>
                <w:kern w:val="0"/>
                <w:szCs w:val="21"/>
              </w:rPr>
              <w:t>前</w:t>
            </w:r>
          </w:p>
        </w:tc>
        <w:tc>
          <w:tcPr>
            <w:tcW w:w="1519" w:type="dxa"/>
            <w:tcBorders>
              <w:top w:val="single" w:color="auto" w:sz="4" w:space="0"/>
            </w:tcBorders>
            <w:vAlign w:val="center"/>
          </w:tcPr>
          <w:p>
            <w:pPr>
              <w:jc w:val="center"/>
              <w:rPr>
                <w:color w:val="00B0F0"/>
                <w:kern w:val="0"/>
                <w:szCs w:val="21"/>
              </w:rPr>
            </w:pPr>
            <w:r>
              <w:rPr>
                <w:rFonts w:hint="eastAsia"/>
                <w:color w:val="00B0F0"/>
                <w:kern w:val="0"/>
                <w:szCs w:val="21"/>
              </w:rPr>
              <w:t>68</w:t>
            </w:r>
            <w:r>
              <w:rPr>
                <w:color w:val="00B0F0"/>
                <w:kern w:val="0"/>
                <w:szCs w:val="21"/>
              </w:rPr>
              <w:t>.9±</w:t>
            </w:r>
            <w:r>
              <w:rPr>
                <w:rFonts w:hint="eastAsia"/>
                <w:color w:val="00B0F0"/>
                <w:kern w:val="0"/>
                <w:szCs w:val="21"/>
              </w:rPr>
              <w:t>8.02</w:t>
            </w:r>
          </w:p>
        </w:tc>
        <w:tc>
          <w:tcPr>
            <w:tcW w:w="1520" w:type="dxa"/>
            <w:tcBorders>
              <w:top w:val="single" w:color="auto" w:sz="4" w:space="0"/>
            </w:tcBorders>
            <w:vAlign w:val="center"/>
          </w:tcPr>
          <w:p>
            <w:pPr>
              <w:jc w:val="center"/>
              <w:rPr>
                <w:color w:val="00B0F0"/>
                <w:kern w:val="0"/>
                <w:szCs w:val="21"/>
              </w:rPr>
            </w:pPr>
            <w:r>
              <w:rPr>
                <w:rFonts w:hint="eastAsia"/>
                <w:color w:val="00B0F0"/>
                <w:kern w:val="0"/>
                <w:szCs w:val="21"/>
              </w:rPr>
              <w:t>32</w:t>
            </w:r>
            <w:r>
              <w:rPr>
                <w:color w:val="00B0F0"/>
                <w:kern w:val="0"/>
                <w:szCs w:val="21"/>
              </w:rPr>
              <w:t>.</w:t>
            </w:r>
            <w:r>
              <w:rPr>
                <w:rFonts w:hint="eastAsia"/>
                <w:color w:val="00B0F0"/>
                <w:kern w:val="0"/>
                <w:szCs w:val="21"/>
              </w:rPr>
              <w:t>5</w:t>
            </w:r>
            <w:r>
              <w:rPr>
                <w:color w:val="00B0F0"/>
                <w:kern w:val="0"/>
                <w:szCs w:val="21"/>
              </w:rPr>
              <w:t>±</w:t>
            </w:r>
            <w:r>
              <w:rPr>
                <w:rFonts w:hint="eastAsia"/>
                <w:color w:val="00B0F0"/>
                <w:kern w:val="0"/>
                <w:szCs w:val="21"/>
              </w:rPr>
              <w:t>4.52</w:t>
            </w:r>
          </w:p>
        </w:tc>
        <w:tc>
          <w:tcPr>
            <w:tcW w:w="1355" w:type="dxa"/>
            <w:tcBorders>
              <w:top w:val="single" w:color="auto" w:sz="4" w:space="0"/>
            </w:tcBorders>
            <w:vAlign w:val="center"/>
          </w:tcPr>
          <w:p>
            <w:pPr>
              <w:jc w:val="center"/>
              <w:rPr>
                <w:color w:val="00B0F0"/>
                <w:kern w:val="0"/>
                <w:szCs w:val="21"/>
              </w:rPr>
            </w:pPr>
            <w:r>
              <w:rPr>
                <w:rFonts w:hint="eastAsia"/>
                <w:color w:val="00B0F0"/>
                <w:kern w:val="0"/>
                <w:szCs w:val="21"/>
              </w:rPr>
              <w:t>7.42</w:t>
            </w:r>
            <w:r>
              <w:rPr>
                <w:color w:val="00B0F0"/>
                <w:kern w:val="0"/>
                <w:szCs w:val="21"/>
              </w:rPr>
              <w:t>±</w:t>
            </w:r>
            <w:r>
              <w:rPr>
                <w:rFonts w:hint="eastAsia"/>
                <w:color w:val="00B0F0"/>
                <w:kern w:val="0"/>
                <w:szCs w:val="21"/>
              </w:rPr>
              <w:t>0.51</w:t>
            </w:r>
          </w:p>
        </w:tc>
        <w:tc>
          <w:tcPr>
            <w:tcW w:w="1684" w:type="dxa"/>
            <w:tcBorders>
              <w:top w:val="single" w:color="auto" w:sz="4" w:space="0"/>
            </w:tcBorders>
            <w:vAlign w:val="center"/>
          </w:tcPr>
          <w:p>
            <w:pPr>
              <w:autoSpaceDE w:val="0"/>
              <w:autoSpaceDN w:val="0"/>
              <w:adjustRightInd w:val="0"/>
              <w:jc w:val="center"/>
              <w:rPr>
                <w:color w:val="00B0F0"/>
                <w:kern w:val="0"/>
                <w:szCs w:val="21"/>
              </w:rPr>
            </w:pPr>
            <w:r>
              <w:rPr>
                <w:rFonts w:hint="eastAsia"/>
                <w:color w:val="00B0F0"/>
                <w:kern w:val="0"/>
                <w:szCs w:val="21"/>
              </w:rPr>
              <w:t>28.5</w:t>
            </w:r>
            <w:r>
              <w:rPr>
                <w:color w:val="00B0F0"/>
                <w:kern w:val="0"/>
                <w:szCs w:val="21"/>
              </w:rPr>
              <w:t>±</w:t>
            </w:r>
            <w:r>
              <w:rPr>
                <w:rFonts w:hint="eastAsia"/>
                <w:color w:val="00B0F0"/>
                <w:kern w:val="0"/>
                <w:szCs w:val="21"/>
              </w:rPr>
              <w:t>0.39</w:t>
            </w:r>
          </w:p>
        </w:tc>
      </w:tr>
      <w:tr>
        <w:tblPrEx>
          <w:tblLayout w:type="fixed"/>
          <w:tblCellMar>
            <w:top w:w="0" w:type="dxa"/>
            <w:left w:w="108" w:type="dxa"/>
            <w:bottom w:w="0" w:type="dxa"/>
            <w:right w:w="108" w:type="dxa"/>
          </w:tblCellMar>
        </w:tblPrEx>
        <w:trPr>
          <w:trHeight w:val="316" w:hRule="atLeast"/>
          <w:jc w:val="center"/>
        </w:trPr>
        <w:tc>
          <w:tcPr>
            <w:tcW w:w="1034" w:type="dxa"/>
            <w:vMerge w:val="continue"/>
            <w:vAlign w:val="center"/>
          </w:tcPr>
          <w:p>
            <w:pPr>
              <w:jc w:val="center"/>
              <w:rPr>
                <w:color w:val="00B0F0"/>
                <w:kern w:val="0"/>
                <w:szCs w:val="21"/>
              </w:rPr>
            </w:pPr>
          </w:p>
        </w:tc>
        <w:tc>
          <w:tcPr>
            <w:tcW w:w="993" w:type="dxa"/>
          </w:tcPr>
          <w:p>
            <w:pPr>
              <w:jc w:val="center"/>
              <w:rPr>
                <w:color w:val="00B0F0"/>
                <w:kern w:val="0"/>
                <w:szCs w:val="21"/>
              </w:rPr>
            </w:pPr>
            <w:r>
              <w:rPr>
                <w:rFonts w:hint="eastAsia"/>
                <w:color w:val="00B0F0"/>
                <w:kern w:val="0"/>
                <w:szCs w:val="21"/>
              </w:rPr>
              <w:t>治疗</w:t>
            </w:r>
            <w:r>
              <w:rPr>
                <w:color w:val="00B0F0"/>
                <w:kern w:val="0"/>
                <w:szCs w:val="21"/>
              </w:rPr>
              <w:t>后</w:t>
            </w:r>
          </w:p>
        </w:tc>
        <w:tc>
          <w:tcPr>
            <w:tcW w:w="1519" w:type="dxa"/>
            <w:vAlign w:val="center"/>
          </w:tcPr>
          <w:p>
            <w:pPr>
              <w:jc w:val="center"/>
              <w:rPr>
                <w:color w:val="00B0F0"/>
                <w:kern w:val="0"/>
                <w:szCs w:val="21"/>
              </w:rPr>
            </w:pPr>
            <w:r>
              <w:rPr>
                <w:rFonts w:hint="eastAsia"/>
                <w:color w:val="00B0F0"/>
                <w:kern w:val="0"/>
                <w:szCs w:val="21"/>
              </w:rPr>
              <w:t>84.2</w:t>
            </w:r>
            <w:r>
              <w:rPr>
                <w:color w:val="00B0F0"/>
                <w:kern w:val="0"/>
                <w:szCs w:val="21"/>
              </w:rPr>
              <w:t>±</w:t>
            </w:r>
            <w:r>
              <w:rPr>
                <w:rFonts w:hint="eastAsia"/>
                <w:color w:val="00B0F0"/>
                <w:kern w:val="0"/>
                <w:szCs w:val="21"/>
              </w:rPr>
              <w:t>9.16</w:t>
            </w:r>
            <w:r>
              <w:rPr>
                <w:color w:val="00B0F0"/>
                <w:kern w:val="0"/>
                <w:szCs w:val="21"/>
                <w:vertAlign w:val="superscript"/>
              </w:rPr>
              <w:t>*</w:t>
            </w:r>
          </w:p>
        </w:tc>
        <w:tc>
          <w:tcPr>
            <w:tcW w:w="1520" w:type="dxa"/>
            <w:vAlign w:val="center"/>
          </w:tcPr>
          <w:p>
            <w:pPr>
              <w:jc w:val="center"/>
              <w:rPr>
                <w:color w:val="00B0F0"/>
                <w:kern w:val="0"/>
                <w:szCs w:val="21"/>
              </w:rPr>
            </w:pPr>
            <w:r>
              <w:rPr>
                <w:rFonts w:hint="eastAsia"/>
                <w:color w:val="00B0F0"/>
                <w:kern w:val="0"/>
                <w:szCs w:val="21"/>
              </w:rPr>
              <w:t>33.1</w:t>
            </w:r>
            <w:r>
              <w:rPr>
                <w:color w:val="00B0F0"/>
                <w:kern w:val="0"/>
                <w:szCs w:val="21"/>
              </w:rPr>
              <w:t>±</w:t>
            </w:r>
            <w:r>
              <w:rPr>
                <w:rFonts w:hint="eastAsia"/>
                <w:color w:val="00B0F0"/>
                <w:kern w:val="0"/>
                <w:szCs w:val="21"/>
              </w:rPr>
              <w:t>4.47</w:t>
            </w:r>
          </w:p>
        </w:tc>
        <w:tc>
          <w:tcPr>
            <w:tcW w:w="1355" w:type="dxa"/>
            <w:vAlign w:val="center"/>
          </w:tcPr>
          <w:p>
            <w:pPr>
              <w:jc w:val="center"/>
              <w:rPr>
                <w:color w:val="00B0F0"/>
                <w:kern w:val="0"/>
                <w:szCs w:val="21"/>
              </w:rPr>
            </w:pPr>
            <w:r>
              <w:rPr>
                <w:rFonts w:hint="eastAsia"/>
                <w:color w:val="00B0F0"/>
                <w:kern w:val="0"/>
                <w:szCs w:val="21"/>
              </w:rPr>
              <w:t>7.45</w:t>
            </w:r>
            <w:r>
              <w:rPr>
                <w:color w:val="00B0F0"/>
                <w:kern w:val="0"/>
                <w:szCs w:val="21"/>
              </w:rPr>
              <w:t>±</w:t>
            </w:r>
            <w:r>
              <w:rPr>
                <w:rFonts w:hint="eastAsia"/>
                <w:color w:val="00B0F0"/>
                <w:kern w:val="0"/>
                <w:szCs w:val="21"/>
              </w:rPr>
              <w:t>0.43</w:t>
            </w:r>
          </w:p>
        </w:tc>
        <w:tc>
          <w:tcPr>
            <w:tcW w:w="1684" w:type="dxa"/>
            <w:vAlign w:val="center"/>
          </w:tcPr>
          <w:p>
            <w:pPr>
              <w:jc w:val="center"/>
              <w:rPr>
                <w:color w:val="00B0F0"/>
                <w:kern w:val="0"/>
                <w:szCs w:val="21"/>
              </w:rPr>
            </w:pPr>
            <w:r>
              <w:rPr>
                <w:rFonts w:hint="eastAsia"/>
                <w:color w:val="00B0F0"/>
                <w:kern w:val="0"/>
                <w:szCs w:val="21"/>
              </w:rPr>
              <w:t>27.4</w:t>
            </w:r>
            <w:r>
              <w:rPr>
                <w:color w:val="00B0F0"/>
                <w:kern w:val="0"/>
                <w:szCs w:val="21"/>
              </w:rPr>
              <w:t>±</w:t>
            </w:r>
            <w:r>
              <w:rPr>
                <w:rFonts w:hint="eastAsia"/>
                <w:color w:val="00B0F0"/>
                <w:kern w:val="0"/>
                <w:szCs w:val="21"/>
              </w:rPr>
              <w:t>0.41</w:t>
            </w:r>
          </w:p>
        </w:tc>
      </w:tr>
      <w:tr>
        <w:tblPrEx>
          <w:tblLayout w:type="fixed"/>
          <w:tblCellMar>
            <w:top w:w="0" w:type="dxa"/>
            <w:left w:w="108" w:type="dxa"/>
            <w:bottom w:w="0" w:type="dxa"/>
            <w:right w:w="108" w:type="dxa"/>
          </w:tblCellMar>
        </w:tblPrEx>
        <w:trPr>
          <w:trHeight w:val="316" w:hRule="atLeast"/>
          <w:jc w:val="center"/>
        </w:trPr>
        <w:tc>
          <w:tcPr>
            <w:tcW w:w="1034" w:type="dxa"/>
            <w:vMerge w:val="restart"/>
            <w:vAlign w:val="center"/>
          </w:tcPr>
          <w:p>
            <w:pPr>
              <w:jc w:val="center"/>
              <w:rPr>
                <w:color w:val="00B0F0"/>
                <w:kern w:val="0"/>
                <w:szCs w:val="21"/>
              </w:rPr>
            </w:pPr>
            <w:r>
              <w:rPr>
                <w:color w:val="00B0F0"/>
                <w:kern w:val="0"/>
                <w:szCs w:val="21"/>
              </w:rPr>
              <w:t>观察组</w:t>
            </w:r>
          </w:p>
        </w:tc>
        <w:tc>
          <w:tcPr>
            <w:tcW w:w="993" w:type="dxa"/>
          </w:tcPr>
          <w:p>
            <w:pPr>
              <w:jc w:val="center"/>
              <w:rPr>
                <w:color w:val="00B0F0"/>
                <w:kern w:val="0"/>
                <w:szCs w:val="21"/>
              </w:rPr>
            </w:pPr>
            <w:r>
              <w:rPr>
                <w:rFonts w:hint="eastAsia"/>
                <w:color w:val="00B0F0"/>
                <w:kern w:val="0"/>
                <w:szCs w:val="21"/>
              </w:rPr>
              <w:t>治疗</w:t>
            </w:r>
            <w:r>
              <w:rPr>
                <w:color w:val="00B0F0"/>
                <w:kern w:val="0"/>
                <w:szCs w:val="21"/>
              </w:rPr>
              <w:t>前</w:t>
            </w:r>
          </w:p>
        </w:tc>
        <w:tc>
          <w:tcPr>
            <w:tcW w:w="1519" w:type="dxa"/>
            <w:vAlign w:val="center"/>
          </w:tcPr>
          <w:p>
            <w:pPr>
              <w:jc w:val="center"/>
              <w:rPr>
                <w:color w:val="00B0F0"/>
                <w:kern w:val="0"/>
                <w:szCs w:val="21"/>
              </w:rPr>
            </w:pPr>
            <w:r>
              <w:rPr>
                <w:rFonts w:hint="eastAsia"/>
                <w:color w:val="00B0F0"/>
                <w:kern w:val="0"/>
                <w:szCs w:val="21"/>
              </w:rPr>
              <w:t>67</w:t>
            </w:r>
            <w:r>
              <w:rPr>
                <w:color w:val="00B0F0"/>
                <w:kern w:val="0"/>
                <w:szCs w:val="21"/>
              </w:rPr>
              <w:t>.</w:t>
            </w:r>
            <w:r>
              <w:rPr>
                <w:rFonts w:hint="eastAsia"/>
                <w:color w:val="00B0F0"/>
                <w:kern w:val="0"/>
                <w:szCs w:val="21"/>
              </w:rPr>
              <w:t>5</w:t>
            </w:r>
            <w:r>
              <w:rPr>
                <w:color w:val="00B0F0"/>
                <w:kern w:val="0"/>
                <w:szCs w:val="21"/>
              </w:rPr>
              <w:t>±</w:t>
            </w:r>
            <w:r>
              <w:rPr>
                <w:rFonts w:hint="eastAsia"/>
                <w:color w:val="00B0F0"/>
                <w:kern w:val="0"/>
                <w:szCs w:val="21"/>
              </w:rPr>
              <w:t>7</w:t>
            </w:r>
            <w:r>
              <w:rPr>
                <w:color w:val="00B0F0"/>
                <w:kern w:val="0"/>
                <w:szCs w:val="21"/>
              </w:rPr>
              <w:t>.</w:t>
            </w:r>
            <w:r>
              <w:rPr>
                <w:rFonts w:hint="eastAsia"/>
                <w:color w:val="00B0F0"/>
                <w:kern w:val="0"/>
                <w:szCs w:val="21"/>
              </w:rPr>
              <w:t>58</w:t>
            </w:r>
          </w:p>
        </w:tc>
        <w:tc>
          <w:tcPr>
            <w:tcW w:w="1520" w:type="dxa"/>
            <w:vAlign w:val="center"/>
          </w:tcPr>
          <w:p>
            <w:pPr>
              <w:jc w:val="center"/>
              <w:rPr>
                <w:color w:val="00B0F0"/>
                <w:kern w:val="0"/>
                <w:szCs w:val="21"/>
              </w:rPr>
            </w:pPr>
            <w:r>
              <w:rPr>
                <w:rFonts w:hint="eastAsia"/>
                <w:color w:val="00B0F0"/>
                <w:kern w:val="0"/>
                <w:szCs w:val="21"/>
              </w:rPr>
              <w:t>33.2</w:t>
            </w:r>
            <w:r>
              <w:rPr>
                <w:color w:val="00B0F0"/>
                <w:kern w:val="0"/>
                <w:szCs w:val="21"/>
              </w:rPr>
              <w:t>±</w:t>
            </w:r>
            <w:r>
              <w:rPr>
                <w:rFonts w:hint="eastAsia"/>
                <w:color w:val="00B0F0"/>
                <w:kern w:val="0"/>
                <w:szCs w:val="21"/>
              </w:rPr>
              <w:t>4.41</w:t>
            </w:r>
          </w:p>
        </w:tc>
        <w:tc>
          <w:tcPr>
            <w:tcW w:w="1355" w:type="dxa"/>
            <w:vAlign w:val="center"/>
          </w:tcPr>
          <w:p>
            <w:pPr>
              <w:jc w:val="center"/>
              <w:rPr>
                <w:color w:val="00B0F0"/>
                <w:kern w:val="0"/>
                <w:szCs w:val="21"/>
              </w:rPr>
            </w:pPr>
            <w:r>
              <w:rPr>
                <w:rFonts w:hint="eastAsia"/>
                <w:color w:val="00B0F0"/>
                <w:kern w:val="0"/>
                <w:szCs w:val="21"/>
              </w:rPr>
              <w:t>7.34</w:t>
            </w:r>
            <w:r>
              <w:rPr>
                <w:color w:val="00B0F0"/>
                <w:kern w:val="0"/>
                <w:szCs w:val="21"/>
              </w:rPr>
              <w:t>±</w:t>
            </w:r>
            <w:r>
              <w:rPr>
                <w:rFonts w:hint="eastAsia"/>
                <w:color w:val="00B0F0"/>
                <w:kern w:val="0"/>
                <w:szCs w:val="21"/>
              </w:rPr>
              <w:t>0.41</w:t>
            </w:r>
          </w:p>
        </w:tc>
        <w:tc>
          <w:tcPr>
            <w:tcW w:w="1684" w:type="dxa"/>
            <w:vAlign w:val="center"/>
          </w:tcPr>
          <w:p>
            <w:pPr>
              <w:autoSpaceDE w:val="0"/>
              <w:autoSpaceDN w:val="0"/>
              <w:adjustRightInd w:val="0"/>
              <w:jc w:val="center"/>
              <w:rPr>
                <w:color w:val="00B0F0"/>
                <w:kern w:val="0"/>
                <w:szCs w:val="21"/>
              </w:rPr>
            </w:pPr>
            <w:r>
              <w:rPr>
                <w:rFonts w:hint="eastAsia"/>
                <w:color w:val="00B0F0"/>
                <w:kern w:val="0"/>
                <w:szCs w:val="21"/>
              </w:rPr>
              <w:t>25.6</w:t>
            </w:r>
            <w:r>
              <w:rPr>
                <w:color w:val="00B0F0"/>
                <w:kern w:val="0"/>
                <w:szCs w:val="21"/>
              </w:rPr>
              <w:t>±</w:t>
            </w:r>
            <w:r>
              <w:rPr>
                <w:rFonts w:hint="eastAsia"/>
                <w:color w:val="00B0F0"/>
                <w:kern w:val="0"/>
                <w:szCs w:val="21"/>
              </w:rPr>
              <w:t>3.54</w:t>
            </w:r>
          </w:p>
        </w:tc>
      </w:tr>
      <w:tr>
        <w:tblPrEx>
          <w:tblLayout w:type="fixed"/>
          <w:tblCellMar>
            <w:top w:w="0" w:type="dxa"/>
            <w:left w:w="108" w:type="dxa"/>
            <w:bottom w:w="0" w:type="dxa"/>
            <w:right w:w="108" w:type="dxa"/>
          </w:tblCellMar>
        </w:tblPrEx>
        <w:trPr>
          <w:trHeight w:val="316" w:hRule="atLeast"/>
          <w:jc w:val="center"/>
        </w:trPr>
        <w:tc>
          <w:tcPr>
            <w:tcW w:w="1034" w:type="dxa"/>
            <w:vMerge w:val="continue"/>
            <w:tcBorders>
              <w:bottom w:val="single" w:color="auto" w:sz="12" w:space="0"/>
            </w:tcBorders>
          </w:tcPr>
          <w:p>
            <w:pPr>
              <w:rPr>
                <w:color w:val="00B0F0"/>
                <w:kern w:val="0"/>
                <w:szCs w:val="21"/>
              </w:rPr>
            </w:pPr>
          </w:p>
        </w:tc>
        <w:tc>
          <w:tcPr>
            <w:tcW w:w="993" w:type="dxa"/>
            <w:tcBorders>
              <w:bottom w:val="single" w:color="auto" w:sz="12" w:space="0"/>
            </w:tcBorders>
          </w:tcPr>
          <w:p>
            <w:pPr>
              <w:jc w:val="center"/>
              <w:rPr>
                <w:color w:val="00B0F0"/>
                <w:kern w:val="0"/>
                <w:szCs w:val="21"/>
              </w:rPr>
            </w:pPr>
            <w:r>
              <w:rPr>
                <w:rFonts w:hint="eastAsia"/>
                <w:color w:val="00B0F0"/>
                <w:kern w:val="0"/>
                <w:szCs w:val="21"/>
              </w:rPr>
              <w:t>治疗</w:t>
            </w:r>
            <w:r>
              <w:rPr>
                <w:color w:val="00B0F0"/>
                <w:kern w:val="0"/>
                <w:szCs w:val="21"/>
              </w:rPr>
              <w:t>后</w:t>
            </w:r>
          </w:p>
        </w:tc>
        <w:tc>
          <w:tcPr>
            <w:tcW w:w="1519" w:type="dxa"/>
            <w:tcBorders>
              <w:bottom w:val="single" w:color="auto" w:sz="12" w:space="0"/>
            </w:tcBorders>
            <w:vAlign w:val="center"/>
          </w:tcPr>
          <w:p>
            <w:pPr>
              <w:jc w:val="center"/>
              <w:rPr>
                <w:color w:val="00B0F0"/>
                <w:kern w:val="0"/>
                <w:szCs w:val="21"/>
              </w:rPr>
            </w:pPr>
            <w:r>
              <w:rPr>
                <w:rFonts w:hint="eastAsia"/>
                <w:color w:val="00B0F0"/>
                <w:kern w:val="0"/>
                <w:szCs w:val="21"/>
              </w:rPr>
              <w:t>91.5</w:t>
            </w:r>
            <w:r>
              <w:rPr>
                <w:color w:val="00B0F0"/>
                <w:kern w:val="0"/>
                <w:szCs w:val="21"/>
              </w:rPr>
              <w:t>±</w:t>
            </w:r>
            <w:r>
              <w:rPr>
                <w:rFonts w:hint="eastAsia"/>
                <w:color w:val="00B0F0"/>
                <w:kern w:val="0"/>
                <w:szCs w:val="21"/>
              </w:rPr>
              <w:t>10.2</w:t>
            </w:r>
            <w:r>
              <w:rPr>
                <w:color w:val="00B0F0"/>
                <w:kern w:val="0"/>
                <w:szCs w:val="21"/>
                <w:vertAlign w:val="superscript"/>
              </w:rPr>
              <w:t>*#</w:t>
            </w:r>
          </w:p>
        </w:tc>
        <w:tc>
          <w:tcPr>
            <w:tcW w:w="1520" w:type="dxa"/>
            <w:tcBorders>
              <w:bottom w:val="single" w:color="auto" w:sz="12" w:space="0"/>
            </w:tcBorders>
            <w:vAlign w:val="center"/>
          </w:tcPr>
          <w:p>
            <w:pPr>
              <w:jc w:val="center"/>
              <w:rPr>
                <w:color w:val="00B0F0"/>
                <w:kern w:val="0"/>
                <w:szCs w:val="21"/>
              </w:rPr>
            </w:pPr>
            <w:r>
              <w:rPr>
                <w:rFonts w:hint="eastAsia"/>
                <w:color w:val="00B0F0"/>
                <w:kern w:val="0"/>
                <w:szCs w:val="21"/>
              </w:rPr>
              <w:t>32.3</w:t>
            </w:r>
            <w:r>
              <w:rPr>
                <w:color w:val="00B0F0"/>
                <w:kern w:val="0"/>
                <w:szCs w:val="21"/>
              </w:rPr>
              <w:t>±</w:t>
            </w:r>
            <w:r>
              <w:rPr>
                <w:rFonts w:hint="eastAsia"/>
                <w:color w:val="00B0F0"/>
                <w:kern w:val="0"/>
                <w:szCs w:val="21"/>
              </w:rPr>
              <w:t>3.36</w:t>
            </w:r>
          </w:p>
        </w:tc>
        <w:tc>
          <w:tcPr>
            <w:tcW w:w="1355" w:type="dxa"/>
            <w:tcBorders>
              <w:bottom w:val="single" w:color="auto" w:sz="12" w:space="0"/>
            </w:tcBorders>
            <w:vAlign w:val="center"/>
          </w:tcPr>
          <w:p>
            <w:pPr>
              <w:jc w:val="center"/>
              <w:rPr>
                <w:color w:val="00B0F0"/>
                <w:kern w:val="0"/>
                <w:szCs w:val="21"/>
              </w:rPr>
            </w:pPr>
            <w:r>
              <w:rPr>
                <w:rFonts w:hint="eastAsia"/>
                <w:color w:val="00B0F0"/>
                <w:kern w:val="0"/>
                <w:szCs w:val="21"/>
              </w:rPr>
              <w:t>7.41</w:t>
            </w:r>
            <w:r>
              <w:rPr>
                <w:color w:val="00B0F0"/>
                <w:kern w:val="0"/>
                <w:szCs w:val="21"/>
              </w:rPr>
              <w:t>±</w:t>
            </w:r>
            <w:r>
              <w:rPr>
                <w:rFonts w:hint="eastAsia"/>
                <w:color w:val="00B0F0"/>
                <w:kern w:val="0"/>
                <w:szCs w:val="21"/>
              </w:rPr>
              <w:t>0.45</w:t>
            </w:r>
          </w:p>
        </w:tc>
        <w:tc>
          <w:tcPr>
            <w:tcW w:w="1684" w:type="dxa"/>
            <w:tcBorders>
              <w:bottom w:val="single" w:color="auto" w:sz="12" w:space="0"/>
            </w:tcBorders>
            <w:vAlign w:val="center"/>
          </w:tcPr>
          <w:p>
            <w:pPr>
              <w:jc w:val="center"/>
              <w:rPr>
                <w:color w:val="00B0F0"/>
                <w:kern w:val="0"/>
                <w:szCs w:val="21"/>
              </w:rPr>
            </w:pPr>
            <w:r>
              <w:rPr>
                <w:rFonts w:hint="eastAsia"/>
                <w:color w:val="00B0F0"/>
                <w:kern w:val="0"/>
                <w:szCs w:val="21"/>
              </w:rPr>
              <w:t>26.1</w:t>
            </w:r>
            <w:r>
              <w:rPr>
                <w:color w:val="00B0F0"/>
                <w:kern w:val="0"/>
                <w:szCs w:val="21"/>
              </w:rPr>
              <w:t>±</w:t>
            </w:r>
            <w:r>
              <w:rPr>
                <w:rFonts w:hint="eastAsia"/>
                <w:color w:val="00B0F0"/>
                <w:kern w:val="0"/>
                <w:szCs w:val="21"/>
              </w:rPr>
              <w:t>3.32</w:t>
            </w:r>
          </w:p>
        </w:tc>
      </w:tr>
    </w:tbl>
    <w:p>
      <w:pPr>
        <w:rPr>
          <w:rFonts w:hint="eastAsia"/>
          <w:bCs/>
          <w:color w:val="00B0F0"/>
          <w:szCs w:val="21"/>
        </w:rPr>
      </w:pPr>
      <w:r>
        <w:rPr>
          <w:bCs/>
          <w:color w:val="00B0F0"/>
          <w:szCs w:val="21"/>
        </w:rPr>
        <w:t>注</w:t>
      </w:r>
      <w:r>
        <w:rPr>
          <w:rFonts w:hint="eastAsia"/>
          <w:bCs/>
          <w:color w:val="00B0F0"/>
          <w:szCs w:val="21"/>
        </w:rPr>
        <w:t>：</w:t>
      </w:r>
      <w:r>
        <w:rPr>
          <w:bCs/>
          <w:color w:val="00B0F0"/>
          <w:szCs w:val="21"/>
        </w:rPr>
        <w:t>与</w:t>
      </w:r>
      <w:r>
        <w:rPr>
          <w:rFonts w:hint="eastAsia"/>
          <w:bCs/>
          <w:color w:val="00B0F0"/>
          <w:szCs w:val="21"/>
        </w:rPr>
        <w:t>治疗</w:t>
      </w:r>
      <w:r>
        <w:rPr>
          <w:bCs/>
          <w:color w:val="00B0F0"/>
          <w:szCs w:val="21"/>
        </w:rPr>
        <w:t>前比较</w:t>
      </w:r>
      <w:r>
        <w:rPr>
          <w:rFonts w:hint="eastAsia"/>
          <w:bCs/>
          <w:color w:val="00B0F0"/>
          <w:szCs w:val="21"/>
        </w:rPr>
        <w:t>，</w:t>
      </w:r>
      <w:r>
        <w:rPr>
          <w:bCs/>
          <w:color w:val="00B0F0"/>
          <w:szCs w:val="21"/>
          <w:vertAlign w:val="superscript"/>
        </w:rPr>
        <w:t>*</w:t>
      </w:r>
      <w:r>
        <w:rPr>
          <w:bCs/>
          <w:color w:val="00B0F0"/>
          <w:szCs w:val="21"/>
        </w:rPr>
        <w:t>P＜0.05；与对照组</w:t>
      </w:r>
      <w:r>
        <w:rPr>
          <w:rFonts w:hint="eastAsia"/>
          <w:bCs/>
          <w:color w:val="00B0F0"/>
          <w:szCs w:val="21"/>
        </w:rPr>
        <w:t>治疗</w:t>
      </w:r>
      <w:r>
        <w:rPr>
          <w:bCs/>
          <w:color w:val="00B0F0"/>
          <w:szCs w:val="21"/>
        </w:rPr>
        <w:t>后比较，</w:t>
      </w:r>
      <w:r>
        <w:rPr>
          <w:bCs/>
          <w:color w:val="00B0F0"/>
          <w:szCs w:val="21"/>
          <w:vertAlign w:val="superscript"/>
        </w:rPr>
        <w:t>#</w:t>
      </w:r>
      <w:r>
        <w:rPr>
          <w:bCs/>
          <w:color w:val="00B0F0"/>
          <w:szCs w:val="21"/>
        </w:rPr>
        <w:t>P＜0.05。</w:t>
      </w:r>
    </w:p>
    <w:p>
      <w:pPr>
        <w:rPr>
          <w:rFonts w:hint="eastAsia"/>
          <w:bCs/>
          <w:color w:val="000000"/>
          <w:szCs w:val="21"/>
        </w:rPr>
      </w:pPr>
      <w:r>
        <w:rPr>
          <w:rFonts w:hint="eastAsia"/>
          <w:bCs/>
          <w:color w:val="000000"/>
          <w:sz w:val="24"/>
        </w:rPr>
        <w:t>3.4两组患者治疗前后的</w:t>
      </w:r>
      <w:r>
        <w:rPr>
          <w:rFonts w:hint="eastAsia"/>
          <w:bCs/>
          <w:color w:val="FF0000"/>
          <w:sz w:val="24"/>
        </w:rPr>
        <w:t>血清</w:t>
      </w:r>
      <w:r>
        <w:rPr>
          <w:rFonts w:hint="eastAsia"/>
          <w:bCs/>
          <w:color w:val="000000"/>
          <w:sz w:val="24"/>
        </w:rPr>
        <w:t>IL-12、microRNA-21表达水平比较</w:t>
      </w:r>
    </w:p>
    <w:p>
      <w:pPr>
        <w:ind w:firstLine="480" w:firstLineChars="200"/>
        <w:rPr>
          <w:rFonts w:hint="eastAsia"/>
          <w:bCs/>
          <w:color w:val="000000"/>
          <w:sz w:val="24"/>
        </w:rPr>
      </w:pPr>
      <w:r>
        <w:rPr>
          <w:rFonts w:hint="eastAsia"/>
          <w:bCs/>
          <w:color w:val="000000"/>
          <w:sz w:val="24"/>
        </w:rPr>
        <w:t>治疗前，两组患者的IL-12、microRNA-21表达水平差异比较均无统计学意义(P＞0.05)；治疗后，观察组患者的IL-12表达水平升高幅度大于对照组、microRNA-21表达水平降低幅度大于对照组，差异具有统计学意义(P＜0.05)</w:t>
      </w:r>
      <w:r>
        <w:rPr>
          <w:rFonts w:hint="eastAsia"/>
        </w:rPr>
        <w:t>；</w:t>
      </w:r>
      <w:r>
        <w:rPr>
          <w:rFonts w:hint="eastAsia"/>
          <w:bCs/>
          <w:color w:val="000000"/>
          <w:sz w:val="24"/>
        </w:rPr>
        <w:t>详情见表3。</w:t>
      </w:r>
    </w:p>
    <w:p>
      <w:pPr>
        <w:ind w:firstLine="480" w:firstLineChars="200"/>
        <w:rPr>
          <w:rFonts w:hint="eastAsia"/>
          <w:bCs/>
          <w:color w:val="000000"/>
          <w:sz w:val="24"/>
        </w:rPr>
      </w:pPr>
      <w:r>
        <w:rPr>
          <w:rFonts w:hint="eastAsia"/>
          <w:bCs/>
          <w:color w:val="000000"/>
          <w:sz w:val="24"/>
        </w:rPr>
        <w:t>表3：两组患者治疗前后的IL-12、microRNA-21表达水平比较</w:t>
      </w:r>
    </w:p>
    <w:tbl>
      <w:tblPr>
        <w:tblStyle w:val="10"/>
        <w:tblW w:w="8078" w:type="dxa"/>
        <w:jc w:val="center"/>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73"/>
        <w:gridCol w:w="940"/>
        <w:gridCol w:w="1516"/>
        <w:gridCol w:w="1516"/>
        <w:gridCol w:w="1516"/>
        <w:gridCol w:w="1517"/>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073" w:type="dxa"/>
            <w:vMerge w:val="restart"/>
            <w:vAlign w:val="center"/>
          </w:tcPr>
          <w:p>
            <w:pPr>
              <w:jc w:val="center"/>
              <w:rPr>
                <w:rFonts w:hint="eastAsia"/>
                <w:color w:val="000000"/>
                <w:kern w:val="0"/>
                <w:szCs w:val="21"/>
              </w:rPr>
            </w:pPr>
            <w:r>
              <w:rPr>
                <w:rFonts w:hint="eastAsia"/>
                <w:color w:val="000000"/>
                <w:kern w:val="0"/>
                <w:szCs w:val="21"/>
              </w:rPr>
              <w:t>组别</w:t>
            </w:r>
          </w:p>
        </w:tc>
        <w:tc>
          <w:tcPr>
            <w:tcW w:w="940" w:type="dxa"/>
            <w:vMerge w:val="restart"/>
            <w:vAlign w:val="center"/>
          </w:tcPr>
          <w:p>
            <w:pPr>
              <w:jc w:val="center"/>
              <w:rPr>
                <w:rFonts w:hint="eastAsia"/>
                <w:color w:val="000000"/>
                <w:kern w:val="0"/>
                <w:szCs w:val="21"/>
              </w:rPr>
            </w:pPr>
            <w:r>
              <w:rPr>
                <w:rFonts w:hint="eastAsia"/>
                <w:color w:val="000000"/>
                <w:kern w:val="0"/>
                <w:szCs w:val="21"/>
              </w:rPr>
              <w:t>例数</w:t>
            </w:r>
          </w:p>
        </w:tc>
        <w:tc>
          <w:tcPr>
            <w:tcW w:w="3032" w:type="dxa"/>
            <w:gridSpan w:val="2"/>
            <w:tcBorders>
              <w:bottom w:val="single" w:color="auto" w:sz="4" w:space="0"/>
            </w:tcBorders>
            <w:vAlign w:val="center"/>
          </w:tcPr>
          <w:p>
            <w:pPr>
              <w:jc w:val="center"/>
              <w:rPr>
                <w:rFonts w:hint="eastAsia"/>
                <w:color w:val="000000"/>
                <w:kern w:val="0"/>
                <w:szCs w:val="21"/>
              </w:rPr>
            </w:pPr>
            <w:r>
              <w:rPr>
                <w:color w:val="000000"/>
                <w:kern w:val="0"/>
                <w:szCs w:val="21"/>
              </w:rPr>
              <w:t>IL-12</w:t>
            </w:r>
            <w:r>
              <w:rPr>
                <w:rFonts w:hint="eastAsia"/>
                <w:color w:val="000000"/>
                <w:kern w:val="0"/>
                <w:szCs w:val="21"/>
              </w:rPr>
              <w:t>(ng/mL)</w:t>
            </w:r>
          </w:p>
        </w:tc>
        <w:tc>
          <w:tcPr>
            <w:tcW w:w="3033" w:type="dxa"/>
            <w:gridSpan w:val="2"/>
            <w:tcBorders>
              <w:bottom w:val="single" w:color="auto" w:sz="4" w:space="0"/>
            </w:tcBorders>
            <w:vAlign w:val="center"/>
          </w:tcPr>
          <w:p>
            <w:pPr>
              <w:jc w:val="center"/>
              <w:rPr>
                <w:rFonts w:hint="eastAsia"/>
                <w:color w:val="000000"/>
                <w:kern w:val="0"/>
                <w:szCs w:val="21"/>
              </w:rPr>
            </w:pPr>
            <w:r>
              <w:rPr>
                <w:color w:val="000000"/>
                <w:kern w:val="0"/>
                <w:szCs w:val="21"/>
              </w:rPr>
              <w:t>microRNA-21(%)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073" w:type="dxa"/>
            <w:vMerge w:val="continue"/>
            <w:tcBorders>
              <w:bottom w:val="single" w:color="auto" w:sz="4" w:space="0"/>
            </w:tcBorders>
            <w:vAlign w:val="center"/>
          </w:tcPr>
          <w:p>
            <w:pPr>
              <w:jc w:val="center"/>
              <w:rPr>
                <w:color w:val="000000"/>
                <w:kern w:val="0"/>
                <w:szCs w:val="21"/>
              </w:rPr>
            </w:pPr>
          </w:p>
        </w:tc>
        <w:tc>
          <w:tcPr>
            <w:tcW w:w="940" w:type="dxa"/>
            <w:vMerge w:val="continue"/>
            <w:tcBorders>
              <w:bottom w:val="single" w:color="auto" w:sz="4" w:space="0"/>
            </w:tcBorders>
            <w:vAlign w:val="center"/>
          </w:tcPr>
          <w:p>
            <w:pPr>
              <w:jc w:val="center"/>
              <w:rPr>
                <w:color w:val="000000"/>
                <w:kern w:val="0"/>
                <w:szCs w:val="21"/>
              </w:rPr>
            </w:pPr>
          </w:p>
        </w:tc>
        <w:tc>
          <w:tcPr>
            <w:tcW w:w="1516" w:type="dxa"/>
            <w:tcBorders>
              <w:bottom w:val="single" w:color="auto" w:sz="4" w:space="0"/>
            </w:tcBorders>
            <w:vAlign w:val="center"/>
          </w:tcPr>
          <w:p>
            <w:pPr>
              <w:jc w:val="center"/>
              <w:rPr>
                <w:rFonts w:hint="eastAsia"/>
                <w:color w:val="000000"/>
                <w:kern w:val="0"/>
                <w:szCs w:val="21"/>
              </w:rPr>
            </w:pPr>
            <w:r>
              <w:rPr>
                <w:rFonts w:hint="eastAsia"/>
                <w:color w:val="000000"/>
                <w:kern w:val="0"/>
                <w:szCs w:val="21"/>
              </w:rPr>
              <w:t>治疗前</w:t>
            </w:r>
          </w:p>
        </w:tc>
        <w:tc>
          <w:tcPr>
            <w:tcW w:w="1516" w:type="dxa"/>
            <w:tcBorders>
              <w:bottom w:val="single" w:color="auto" w:sz="4" w:space="0"/>
            </w:tcBorders>
            <w:vAlign w:val="center"/>
          </w:tcPr>
          <w:p>
            <w:pPr>
              <w:jc w:val="center"/>
              <w:rPr>
                <w:rFonts w:hint="eastAsia"/>
                <w:color w:val="000000"/>
                <w:kern w:val="0"/>
                <w:szCs w:val="21"/>
              </w:rPr>
            </w:pPr>
            <w:r>
              <w:rPr>
                <w:rFonts w:hint="eastAsia"/>
                <w:color w:val="000000"/>
                <w:kern w:val="0"/>
                <w:szCs w:val="21"/>
              </w:rPr>
              <w:t>治疗后</w:t>
            </w:r>
          </w:p>
        </w:tc>
        <w:tc>
          <w:tcPr>
            <w:tcW w:w="1516" w:type="dxa"/>
            <w:tcBorders>
              <w:bottom w:val="single" w:color="auto" w:sz="4" w:space="0"/>
            </w:tcBorders>
            <w:vAlign w:val="center"/>
          </w:tcPr>
          <w:p>
            <w:pPr>
              <w:jc w:val="center"/>
              <w:rPr>
                <w:rFonts w:hint="eastAsia"/>
                <w:color w:val="000000"/>
                <w:kern w:val="0"/>
                <w:szCs w:val="21"/>
              </w:rPr>
            </w:pPr>
            <w:r>
              <w:rPr>
                <w:rFonts w:hint="eastAsia"/>
                <w:color w:val="000000"/>
                <w:kern w:val="0"/>
                <w:szCs w:val="21"/>
              </w:rPr>
              <w:t>治疗前</w:t>
            </w:r>
          </w:p>
        </w:tc>
        <w:tc>
          <w:tcPr>
            <w:tcW w:w="1517" w:type="dxa"/>
            <w:tcBorders>
              <w:bottom w:val="single" w:color="auto" w:sz="4" w:space="0"/>
            </w:tcBorders>
            <w:vAlign w:val="center"/>
          </w:tcPr>
          <w:p>
            <w:pPr>
              <w:jc w:val="center"/>
              <w:rPr>
                <w:rFonts w:hint="eastAsia"/>
                <w:color w:val="000000"/>
                <w:kern w:val="0"/>
                <w:szCs w:val="21"/>
              </w:rPr>
            </w:pPr>
            <w:r>
              <w:rPr>
                <w:rFonts w:hint="eastAsia"/>
                <w:color w:val="000000"/>
                <w:kern w:val="0"/>
                <w:szCs w:val="21"/>
              </w:rPr>
              <w:t>治疗后</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2" w:hRule="atLeast"/>
          <w:jc w:val="center"/>
        </w:trPr>
        <w:tc>
          <w:tcPr>
            <w:tcW w:w="1073" w:type="dxa"/>
          </w:tcPr>
          <w:p>
            <w:pPr>
              <w:jc w:val="center"/>
              <w:rPr>
                <w:color w:val="000000"/>
                <w:kern w:val="0"/>
                <w:szCs w:val="21"/>
              </w:rPr>
            </w:pPr>
            <w:r>
              <w:rPr>
                <w:rFonts w:hint="eastAsia"/>
                <w:color w:val="000000"/>
                <w:kern w:val="0"/>
                <w:szCs w:val="21"/>
              </w:rPr>
              <w:t>对照组</w:t>
            </w:r>
          </w:p>
        </w:tc>
        <w:tc>
          <w:tcPr>
            <w:tcW w:w="940" w:type="dxa"/>
          </w:tcPr>
          <w:p>
            <w:pPr>
              <w:jc w:val="center"/>
              <w:rPr>
                <w:color w:val="000000"/>
                <w:kern w:val="0"/>
                <w:szCs w:val="21"/>
              </w:rPr>
            </w:pPr>
            <w:r>
              <w:rPr>
                <w:rFonts w:hint="eastAsia"/>
                <w:color w:val="000000"/>
                <w:kern w:val="0"/>
                <w:szCs w:val="21"/>
              </w:rPr>
              <w:t>52</w:t>
            </w:r>
          </w:p>
        </w:tc>
        <w:tc>
          <w:tcPr>
            <w:tcW w:w="1516" w:type="dxa"/>
          </w:tcPr>
          <w:p>
            <w:pPr>
              <w:jc w:val="center"/>
              <w:rPr>
                <w:rFonts w:hint="eastAsia"/>
                <w:color w:val="000000"/>
                <w:kern w:val="0"/>
                <w:szCs w:val="21"/>
              </w:rPr>
            </w:pPr>
            <w:r>
              <w:rPr>
                <w:rFonts w:hint="eastAsia"/>
                <w:color w:val="000000"/>
                <w:kern w:val="0"/>
                <w:szCs w:val="21"/>
              </w:rPr>
              <w:t>27.8</w:t>
            </w:r>
            <w:r>
              <w:rPr>
                <w:color w:val="000000"/>
                <w:kern w:val="0"/>
                <w:szCs w:val="21"/>
              </w:rPr>
              <w:t>±</w:t>
            </w:r>
            <w:r>
              <w:rPr>
                <w:rFonts w:hint="eastAsia"/>
                <w:color w:val="000000"/>
                <w:kern w:val="0"/>
                <w:szCs w:val="21"/>
              </w:rPr>
              <w:t>12.6</w:t>
            </w:r>
          </w:p>
        </w:tc>
        <w:tc>
          <w:tcPr>
            <w:tcW w:w="1516" w:type="dxa"/>
          </w:tcPr>
          <w:p>
            <w:pPr>
              <w:jc w:val="center"/>
              <w:rPr>
                <w:rFonts w:hint="eastAsia"/>
                <w:color w:val="000000"/>
                <w:kern w:val="0"/>
                <w:szCs w:val="21"/>
              </w:rPr>
            </w:pPr>
            <w:r>
              <w:rPr>
                <w:rFonts w:hint="eastAsia"/>
                <w:color w:val="000000"/>
                <w:kern w:val="0"/>
                <w:szCs w:val="21"/>
              </w:rPr>
              <w:t>38.7</w:t>
            </w:r>
            <w:r>
              <w:rPr>
                <w:color w:val="000000"/>
                <w:kern w:val="0"/>
                <w:szCs w:val="21"/>
              </w:rPr>
              <w:t>±</w:t>
            </w:r>
            <w:r>
              <w:rPr>
                <w:rFonts w:hint="eastAsia"/>
                <w:color w:val="000000"/>
                <w:kern w:val="0"/>
                <w:szCs w:val="21"/>
              </w:rPr>
              <w:t>14.8</w:t>
            </w:r>
          </w:p>
        </w:tc>
        <w:tc>
          <w:tcPr>
            <w:tcW w:w="1516" w:type="dxa"/>
          </w:tcPr>
          <w:p>
            <w:pPr>
              <w:jc w:val="center"/>
              <w:rPr>
                <w:rFonts w:hint="eastAsia"/>
                <w:color w:val="000000"/>
                <w:kern w:val="0"/>
                <w:szCs w:val="21"/>
              </w:rPr>
            </w:pPr>
            <w:r>
              <w:rPr>
                <w:rFonts w:hint="eastAsia"/>
                <w:color w:val="000000"/>
                <w:kern w:val="0"/>
                <w:szCs w:val="21"/>
              </w:rPr>
              <w:t>6.18</w:t>
            </w:r>
            <w:r>
              <w:rPr>
                <w:color w:val="000000"/>
                <w:kern w:val="0"/>
                <w:szCs w:val="21"/>
              </w:rPr>
              <w:t>±1.</w:t>
            </w:r>
            <w:r>
              <w:rPr>
                <w:rFonts w:hint="eastAsia"/>
                <w:color w:val="000000"/>
                <w:kern w:val="0"/>
                <w:szCs w:val="21"/>
              </w:rPr>
              <w:t>48</w:t>
            </w:r>
          </w:p>
        </w:tc>
        <w:tc>
          <w:tcPr>
            <w:tcW w:w="1517" w:type="dxa"/>
          </w:tcPr>
          <w:p>
            <w:pPr>
              <w:jc w:val="center"/>
              <w:rPr>
                <w:rFonts w:hint="eastAsia"/>
                <w:color w:val="000000"/>
                <w:kern w:val="0"/>
                <w:szCs w:val="21"/>
              </w:rPr>
            </w:pPr>
            <w:r>
              <w:rPr>
                <w:rFonts w:hint="eastAsia"/>
                <w:color w:val="000000"/>
                <w:kern w:val="0"/>
                <w:szCs w:val="21"/>
              </w:rPr>
              <w:t>4.85</w:t>
            </w:r>
            <w:r>
              <w:rPr>
                <w:color w:val="000000"/>
                <w:kern w:val="0"/>
                <w:szCs w:val="21"/>
              </w:rPr>
              <w:t>±</w:t>
            </w:r>
            <w:r>
              <w:rPr>
                <w:rFonts w:hint="eastAsia"/>
                <w:color w:val="000000"/>
                <w:kern w:val="0"/>
                <w:szCs w:val="21"/>
              </w:rPr>
              <w:t>1.14</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2" w:hRule="atLeast"/>
          <w:jc w:val="center"/>
        </w:trPr>
        <w:tc>
          <w:tcPr>
            <w:tcW w:w="1073" w:type="dxa"/>
          </w:tcPr>
          <w:p>
            <w:pPr>
              <w:jc w:val="center"/>
              <w:rPr>
                <w:color w:val="000000"/>
                <w:kern w:val="0"/>
                <w:szCs w:val="21"/>
              </w:rPr>
            </w:pPr>
            <w:r>
              <w:rPr>
                <w:rFonts w:hint="eastAsia"/>
                <w:color w:val="000000"/>
                <w:kern w:val="0"/>
                <w:szCs w:val="21"/>
              </w:rPr>
              <w:t>观察组</w:t>
            </w:r>
          </w:p>
        </w:tc>
        <w:tc>
          <w:tcPr>
            <w:tcW w:w="940" w:type="dxa"/>
          </w:tcPr>
          <w:p>
            <w:pPr>
              <w:jc w:val="center"/>
              <w:rPr>
                <w:color w:val="000000"/>
                <w:kern w:val="0"/>
                <w:szCs w:val="21"/>
              </w:rPr>
            </w:pPr>
            <w:r>
              <w:rPr>
                <w:rFonts w:hint="eastAsia"/>
                <w:color w:val="000000"/>
                <w:kern w:val="0"/>
                <w:szCs w:val="21"/>
              </w:rPr>
              <w:t>56</w:t>
            </w:r>
          </w:p>
        </w:tc>
        <w:tc>
          <w:tcPr>
            <w:tcW w:w="1516" w:type="dxa"/>
          </w:tcPr>
          <w:p>
            <w:pPr>
              <w:jc w:val="center"/>
              <w:rPr>
                <w:rFonts w:hint="eastAsia"/>
                <w:color w:val="000000"/>
                <w:kern w:val="0"/>
                <w:szCs w:val="21"/>
              </w:rPr>
            </w:pPr>
            <w:r>
              <w:rPr>
                <w:rFonts w:hint="eastAsia"/>
                <w:color w:val="000000"/>
                <w:kern w:val="0"/>
                <w:szCs w:val="21"/>
              </w:rPr>
              <w:t>26.9</w:t>
            </w:r>
            <w:r>
              <w:rPr>
                <w:color w:val="000000"/>
                <w:kern w:val="0"/>
                <w:szCs w:val="21"/>
              </w:rPr>
              <w:t>±</w:t>
            </w:r>
            <w:r>
              <w:rPr>
                <w:rFonts w:hint="eastAsia"/>
                <w:color w:val="000000"/>
                <w:kern w:val="0"/>
                <w:szCs w:val="21"/>
              </w:rPr>
              <w:t>11.9</w:t>
            </w:r>
          </w:p>
        </w:tc>
        <w:tc>
          <w:tcPr>
            <w:tcW w:w="1516" w:type="dxa"/>
          </w:tcPr>
          <w:p>
            <w:pPr>
              <w:jc w:val="center"/>
              <w:rPr>
                <w:rFonts w:hint="eastAsia"/>
                <w:color w:val="000000"/>
                <w:kern w:val="0"/>
                <w:szCs w:val="21"/>
              </w:rPr>
            </w:pPr>
            <w:r>
              <w:rPr>
                <w:rFonts w:hint="eastAsia"/>
                <w:color w:val="000000"/>
                <w:kern w:val="0"/>
                <w:szCs w:val="21"/>
              </w:rPr>
              <w:t>52.8</w:t>
            </w:r>
            <w:r>
              <w:rPr>
                <w:color w:val="000000"/>
                <w:kern w:val="0"/>
                <w:szCs w:val="21"/>
              </w:rPr>
              <w:t>±</w:t>
            </w:r>
            <w:r>
              <w:rPr>
                <w:rFonts w:hint="eastAsia"/>
                <w:color w:val="000000"/>
                <w:kern w:val="0"/>
                <w:szCs w:val="21"/>
              </w:rPr>
              <w:t>16.4</w:t>
            </w:r>
          </w:p>
        </w:tc>
        <w:tc>
          <w:tcPr>
            <w:tcW w:w="1516" w:type="dxa"/>
          </w:tcPr>
          <w:p>
            <w:pPr>
              <w:jc w:val="center"/>
              <w:rPr>
                <w:rFonts w:hint="eastAsia"/>
                <w:color w:val="000000"/>
                <w:kern w:val="0"/>
                <w:szCs w:val="21"/>
              </w:rPr>
            </w:pPr>
            <w:r>
              <w:rPr>
                <w:rFonts w:hint="eastAsia"/>
                <w:color w:val="000000"/>
                <w:kern w:val="0"/>
                <w:szCs w:val="21"/>
              </w:rPr>
              <w:t>6.22</w:t>
            </w:r>
            <w:r>
              <w:rPr>
                <w:color w:val="000000"/>
                <w:kern w:val="0"/>
                <w:szCs w:val="21"/>
              </w:rPr>
              <w:t>±1.</w:t>
            </w:r>
            <w:r>
              <w:rPr>
                <w:rFonts w:hint="eastAsia"/>
                <w:color w:val="000000"/>
                <w:kern w:val="0"/>
                <w:szCs w:val="21"/>
              </w:rPr>
              <w:t>57</w:t>
            </w:r>
          </w:p>
        </w:tc>
        <w:tc>
          <w:tcPr>
            <w:tcW w:w="1517" w:type="dxa"/>
          </w:tcPr>
          <w:p>
            <w:pPr>
              <w:jc w:val="center"/>
              <w:rPr>
                <w:rFonts w:hint="eastAsia"/>
                <w:color w:val="000000"/>
                <w:kern w:val="0"/>
                <w:szCs w:val="21"/>
              </w:rPr>
            </w:pPr>
            <w:r>
              <w:rPr>
                <w:rFonts w:hint="eastAsia"/>
                <w:color w:val="000000"/>
                <w:kern w:val="0"/>
                <w:szCs w:val="21"/>
              </w:rPr>
              <w:t>3.14</w:t>
            </w:r>
            <w:r>
              <w:rPr>
                <w:color w:val="000000"/>
                <w:kern w:val="0"/>
                <w:szCs w:val="21"/>
              </w:rPr>
              <w:t>±</w:t>
            </w:r>
            <w:r>
              <w:rPr>
                <w:rFonts w:hint="eastAsia"/>
                <w:color w:val="000000"/>
                <w:kern w:val="0"/>
                <w:szCs w:val="21"/>
              </w:rPr>
              <w:t>0.56</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2" w:hRule="atLeast"/>
          <w:jc w:val="center"/>
        </w:trPr>
        <w:tc>
          <w:tcPr>
            <w:tcW w:w="1073" w:type="dxa"/>
          </w:tcPr>
          <w:p>
            <w:pPr>
              <w:jc w:val="center"/>
              <w:rPr>
                <w:color w:val="000000"/>
                <w:kern w:val="0"/>
                <w:szCs w:val="21"/>
              </w:rPr>
            </w:pPr>
            <w:r>
              <w:rPr>
                <w:rFonts w:hint="eastAsia"/>
                <w:color w:val="000000"/>
                <w:kern w:val="0"/>
                <w:szCs w:val="21"/>
              </w:rPr>
              <w:t>t</w:t>
            </w:r>
          </w:p>
        </w:tc>
        <w:tc>
          <w:tcPr>
            <w:tcW w:w="940" w:type="dxa"/>
          </w:tcPr>
          <w:p>
            <w:pPr>
              <w:jc w:val="center"/>
              <w:rPr>
                <w:rFonts w:hint="eastAsia"/>
                <w:color w:val="000000"/>
                <w:kern w:val="0"/>
                <w:szCs w:val="21"/>
              </w:rPr>
            </w:pPr>
          </w:p>
        </w:tc>
        <w:tc>
          <w:tcPr>
            <w:tcW w:w="1516" w:type="dxa"/>
          </w:tcPr>
          <w:p>
            <w:pPr>
              <w:jc w:val="center"/>
              <w:rPr>
                <w:rFonts w:hint="eastAsia"/>
                <w:color w:val="000000"/>
                <w:kern w:val="0"/>
                <w:szCs w:val="21"/>
              </w:rPr>
            </w:pPr>
            <w:r>
              <w:rPr>
                <w:rFonts w:hint="eastAsia"/>
                <w:color w:val="000000"/>
                <w:kern w:val="0"/>
                <w:szCs w:val="21"/>
              </w:rPr>
              <w:t>1.58</w:t>
            </w:r>
          </w:p>
        </w:tc>
        <w:tc>
          <w:tcPr>
            <w:tcW w:w="1516" w:type="dxa"/>
          </w:tcPr>
          <w:p>
            <w:pPr>
              <w:jc w:val="center"/>
              <w:rPr>
                <w:rFonts w:hint="eastAsia"/>
                <w:color w:val="000000"/>
                <w:kern w:val="0"/>
                <w:szCs w:val="21"/>
              </w:rPr>
            </w:pPr>
            <w:r>
              <w:rPr>
                <w:rFonts w:hint="eastAsia"/>
                <w:color w:val="000000"/>
                <w:kern w:val="0"/>
                <w:szCs w:val="21"/>
              </w:rPr>
              <w:t>7.952</w:t>
            </w:r>
          </w:p>
        </w:tc>
        <w:tc>
          <w:tcPr>
            <w:tcW w:w="1516" w:type="dxa"/>
          </w:tcPr>
          <w:p>
            <w:pPr>
              <w:jc w:val="center"/>
              <w:rPr>
                <w:rFonts w:hint="eastAsia"/>
                <w:color w:val="000000"/>
                <w:kern w:val="0"/>
                <w:szCs w:val="21"/>
              </w:rPr>
            </w:pPr>
            <w:r>
              <w:rPr>
                <w:rFonts w:hint="eastAsia"/>
                <w:color w:val="000000"/>
                <w:kern w:val="0"/>
                <w:szCs w:val="21"/>
              </w:rPr>
              <w:t>1.65</w:t>
            </w:r>
          </w:p>
        </w:tc>
        <w:tc>
          <w:tcPr>
            <w:tcW w:w="1517" w:type="dxa"/>
          </w:tcPr>
          <w:p>
            <w:pPr>
              <w:jc w:val="center"/>
              <w:rPr>
                <w:rFonts w:hint="eastAsia"/>
                <w:color w:val="000000"/>
                <w:kern w:val="0"/>
                <w:szCs w:val="21"/>
              </w:rPr>
            </w:pPr>
            <w:r>
              <w:rPr>
                <w:rFonts w:hint="eastAsia"/>
                <w:color w:val="000000"/>
                <w:kern w:val="0"/>
                <w:szCs w:val="21"/>
              </w:rPr>
              <w:t>7.124</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22" w:hRule="atLeast"/>
          <w:jc w:val="center"/>
        </w:trPr>
        <w:tc>
          <w:tcPr>
            <w:tcW w:w="1073" w:type="dxa"/>
          </w:tcPr>
          <w:p>
            <w:pPr>
              <w:jc w:val="center"/>
              <w:rPr>
                <w:color w:val="000000"/>
                <w:kern w:val="0"/>
                <w:szCs w:val="21"/>
              </w:rPr>
            </w:pPr>
            <w:r>
              <w:rPr>
                <w:rFonts w:hint="eastAsia"/>
                <w:color w:val="000000"/>
                <w:kern w:val="0"/>
                <w:szCs w:val="21"/>
              </w:rPr>
              <w:t>P值</w:t>
            </w:r>
          </w:p>
        </w:tc>
        <w:tc>
          <w:tcPr>
            <w:tcW w:w="940" w:type="dxa"/>
          </w:tcPr>
          <w:p>
            <w:pPr>
              <w:jc w:val="center"/>
              <w:rPr>
                <w:rFonts w:hint="eastAsia"/>
                <w:color w:val="000000"/>
                <w:kern w:val="0"/>
                <w:szCs w:val="21"/>
              </w:rPr>
            </w:pPr>
          </w:p>
        </w:tc>
        <w:tc>
          <w:tcPr>
            <w:tcW w:w="1516" w:type="dxa"/>
          </w:tcPr>
          <w:p>
            <w:pPr>
              <w:jc w:val="center"/>
              <w:rPr>
                <w:rFonts w:hint="eastAsia"/>
                <w:color w:val="000000"/>
                <w:kern w:val="0"/>
                <w:szCs w:val="21"/>
              </w:rPr>
            </w:pPr>
            <w:r>
              <w:rPr>
                <w:rFonts w:hint="eastAsia"/>
                <w:color w:val="000000"/>
                <w:kern w:val="0"/>
                <w:szCs w:val="21"/>
              </w:rPr>
              <w:t>＞0.05</w:t>
            </w:r>
          </w:p>
        </w:tc>
        <w:tc>
          <w:tcPr>
            <w:tcW w:w="1516" w:type="dxa"/>
          </w:tcPr>
          <w:p>
            <w:pPr>
              <w:jc w:val="center"/>
              <w:rPr>
                <w:rFonts w:hint="eastAsia"/>
                <w:color w:val="000000"/>
                <w:kern w:val="0"/>
                <w:szCs w:val="21"/>
              </w:rPr>
            </w:pPr>
            <w:r>
              <w:rPr>
                <w:rFonts w:hint="eastAsia"/>
                <w:color w:val="000000"/>
                <w:kern w:val="0"/>
                <w:szCs w:val="21"/>
              </w:rPr>
              <w:t>＜0.05</w:t>
            </w:r>
          </w:p>
        </w:tc>
        <w:tc>
          <w:tcPr>
            <w:tcW w:w="1516" w:type="dxa"/>
          </w:tcPr>
          <w:p>
            <w:pPr>
              <w:jc w:val="center"/>
              <w:rPr>
                <w:rFonts w:hint="eastAsia"/>
                <w:color w:val="000000"/>
                <w:kern w:val="0"/>
                <w:szCs w:val="21"/>
              </w:rPr>
            </w:pPr>
            <w:r>
              <w:rPr>
                <w:rFonts w:hint="eastAsia"/>
                <w:color w:val="000000"/>
                <w:kern w:val="0"/>
                <w:szCs w:val="21"/>
              </w:rPr>
              <w:t>＞0.05</w:t>
            </w:r>
          </w:p>
        </w:tc>
        <w:tc>
          <w:tcPr>
            <w:tcW w:w="1517" w:type="dxa"/>
          </w:tcPr>
          <w:p>
            <w:pPr>
              <w:jc w:val="center"/>
              <w:rPr>
                <w:rFonts w:hint="eastAsia"/>
                <w:color w:val="000000"/>
                <w:kern w:val="0"/>
                <w:szCs w:val="21"/>
              </w:rPr>
            </w:pPr>
            <w:r>
              <w:rPr>
                <w:rFonts w:hint="eastAsia"/>
                <w:color w:val="000000"/>
                <w:kern w:val="0"/>
                <w:szCs w:val="21"/>
              </w:rPr>
              <w:t>＜0.05</w:t>
            </w:r>
          </w:p>
        </w:tc>
      </w:tr>
    </w:tbl>
    <w:p>
      <w:pPr>
        <w:rPr>
          <w:rFonts w:hint="eastAsia"/>
          <w:b/>
          <w:bCs/>
          <w:color w:val="000000"/>
          <w:sz w:val="24"/>
        </w:rPr>
      </w:pPr>
      <w:r>
        <w:rPr>
          <w:rFonts w:hint="eastAsia"/>
          <w:b/>
          <w:bCs/>
          <w:color w:val="000000"/>
          <w:sz w:val="24"/>
        </w:rPr>
        <w:t>4</w:t>
      </w:r>
      <w:r>
        <w:rPr>
          <w:b/>
          <w:bCs/>
          <w:color w:val="000000"/>
          <w:sz w:val="24"/>
        </w:rPr>
        <w:t xml:space="preserve"> 讨论 </w:t>
      </w:r>
    </w:p>
    <w:p>
      <w:pPr>
        <w:ind w:firstLine="495"/>
        <w:rPr>
          <w:rFonts w:hint="eastAsia"/>
          <w:bCs/>
          <w:color w:val="FF0000"/>
          <w:sz w:val="24"/>
        </w:rPr>
      </w:pPr>
      <w:r>
        <w:rPr>
          <w:rFonts w:hint="eastAsia"/>
          <w:bCs/>
          <w:color w:val="FF0000"/>
          <w:sz w:val="24"/>
        </w:rPr>
        <w:t>孟鲁司特作为常用的白三烯拮抗剂，在治疗支气管哮喘上，具有抗感染、抑制炎症反应等作用</w:t>
      </w:r>
      <w:r>
        <w:rPr>
          <w:rFonts w:hint="eastAsia"/>
          <w:bCs/>
          <w:color w:val="FF0000"/>
          <w:sz w:val="24"/>
          <w:vertAlign w:val="superscript"/>
        </w:rPr>
        <w:t>[4]</w:t>
      </w:r>
      <w:r>
        <w:rPr>
          <w:rFonts w:hint="eastAsia"/>
          <w:bCs/>
          <w:color w:val="FF0000"/>
          <w:sz w:val="24"/>
        </w:rPr>
        <w:t>。通过激素吸入治疗可进一步抑制支气管哮喘患者的炎症反应，减少炎性细胞和因子的产生、渗出或释放，抑制支气管平滑肌收缩，缓解局部水肿反应，减小呼吸道阻力，有利于改善临床症状，恢复肺功能</w:t>
      </w:r>
      <w:r>
        <w:rPr>
          <w:rFonts w:hint="eastAsia"/>
          <w:bCs/>
          <w:color w:val="FF0000"/>
          <w:sz w:val="24"/>
          <w:vertAlign w:val="superscript"/>
        </w:rPr>
        <w:t>[5]</w:t>
      </w:r>
      <w:r>
        <w:rPr>
          <w:rFonts w:hint="eastAsia"/>
          <w:bCs/>
          <w:color w:val="FF0000"/>
          <w:sz w:val="24"/>
        </w:rPr>
        <w:t>。在本研究中，经秩和检验，观察组临床疗效优于对照组，观察组患者的FEV1、PEF升高幅度大于对照组，差异具有统计学意义(P＜0.05)；与刘德二</w:t>
      </w:r>
      <w:r>
        <w:rPr>
          <w:rFonts w:hint="eastAsia"/>
          <w:bCs/>
          <w:color w:val="FF0000"/>
          <w:sz w:val="24"/>
          <w:vertAlign w:val="superscript"/>
        </w:rPr>
        <w:t>[6]</w:t>
      </w:r>
      <w:r>
        <w:rPr>
          <w:rFonts w:hint="eastAsia"/>
          <w:bCs/>
          <w:color w:val="FF0000"/>
          <w:sz w:val="24"/>
        </w:rPr>
        <w:t>等的研究相一致，提示孟鲁司特与激素吸入治疗可协同控制支气管哮喘的病情，改善肺功能；另外，由本研究表3可知，治疗后，观察组重度患者PaO2升高程度、PEF变异率均大于对照组；亦进一步提示上述观点。</w:t>
      </w:r>
    </w:p>
    <w:p>
      <w:pPr>
        <w:ind w:firstLine="495"/>
        <w:rPr>
          <w:rFonts w:hint="eastAsia"/>
          <w:bCs/>
          <w:color w:val="FF0000"/>
          <w:sz w:val="24"/>
        </w:rPr>
      </w:pPr>
      <w:r>
        <w:rPr>
          <w:rFonts w:hint="eastAsia"/>
          <w:bCs/>
          <w:color w:val="FF0000"/>
          <w:sz w:val="24"/>
        </w:rPr>
        <w:t>国内外研究表明，支气管哮喘患者存在不同程度的Th1/Th2比例失衡。低水平</w:t>
      </w:r>
      <w:r>
        <w:rPr>
          <w:bCs/>
          <w:color w:val="FF0000"/>
          <w:sz w:val="24"/>
        </w:rPr>
        <w:t>IL-12</w:t>
      </w:r>
      <w:r>
        <w:rPr>
          <w:rFonts w:hint="eastAsia"/>
          <w:bCs/>
          <w:color w:val="FF0000"/>
          <w:sz w:val="24"/>
        </w:rPr>
        <w:t>与Th1/Th2比例失衡密切相关。</w:t>
      </w:r>
      <w:r>
        <w:rPr>
          <w:bCs/>
          <w:color w:val="FF0000"/>
          <w:sz w:val="24"/>
        </w:rPr>
        <w:t>IL-12</w:t>
      </w:r>
      <w:r>
        <w:rPr>
          <w:rFonts w:hint="eastAsia"/>
          <w:bCs/>
          <w:color w:val="FF0000"/>
          <w:sz w:val="24"/>
        </w:rPr>
        <w:t>具有抑制Th2类细胞因子的产生、释放，如IL-4、</w:t>
      </w:r>
      <w:r>
        <w:rPr>
          <w:bCs/>
          <w:color w:val="FF0000"/>
          <w:sz w:val="24"/>
        </w:rPr>
        <w:t>I</w:t>
      </w:r>
      <w:r>
        <w:rPr>
          <w:rFonts w:hint="eastAsia"/>
          <w:bCs/>
          <w:color w:val="FF0000"/>
          <w:sz w:val="24"/>
        </w:rPr>
        <w:t>L-5等。现已证实，低水平</w:t>
      </w:r>
      <w:r>
        <w:rPr>
          <w:bCs/>
          <w:color w:val="FF0000"/>
          <w:sz w:val="24"/>
        </w:rPr>
        <w:t>IL-12</w:t>
      </w:r>
      <w:r>
        <w:rPr>
          <w:rFonts w:hint="eastAsia"/>
          <w:bCs/>
          <w:color w:val="FF0000"/>
          <w:sz w:val="24"/>
        </w:rPr>
        <w:t>与支气管哮喘的发病、疗效、预后密切相关</w:t>
      </w:r>
      <w:r>
        <w:rPr>
          <w:rFonts w:hint="eastAsia"/>
          <w:bCs/>
          <w:color w:val="FF0000"/>
          <w:sz w:val="24"/>
          <w:vertAlign w:val="superscript"/>
        </w:rPr>
        <w:t>[7]</w:t>
      </w:r>
      <w:r>
        <w:rPr>
          <w:rFonts w:hint="eastAsia"/>
          <w:bCs/>
          <w:color w:val="FF0000"/>
          <w:sz w:val="24"/>
        </w:rPr>
        <w:t>。在支气管哮喘患者中，</w:t>
      </w:r>
      <w:r>
        <w:rPr>
          <w:bCs/>
          <w:color w:val="FF0000"/>
          <w:sz w:val="24"/>
        </w:rPr>
        <w:t xml:space="preserve"> IL-12</w:t>
      </w:r>
      <w:r>
        <w:rPr>
          <w:rFonts w:hint="eastAsia"/>
          <w:bCs/>
          <w:color w:val="FF0000"/>
          <w:sz w:val="24"/>
        </w:rPr>
        <w:t>表达水平均出现不同程度的降低。但是目前对于支气管哮喘患者IL-12表达的基因调控机制的研究较少；近年来，</w:t>
      </w:r>
      <w:r>
        <w:rPr>
          <w:bCs/>
          <w:color w:val="FF0000"/>
          <w:sz w:val="24"/>
        </w:rPr>
        <w:t>microRNA-21</w:t>
      </w:r>
      <w:r>
        <w:rPr>
          <w:rFonts w:hint="eastAsia"/>
          <w:bCs/>
          <w:color w:val="FF0000"/>
          <w:sz w:val="24"/>
        </w:rPr>
        <w:t>在支气管哮喘发病过程中的作用引起重视。程诗亮</w:t>
      </w:r>
      <w:r>
        <w:rPr>
          <w:rFonts w:hint="eastAsia"/>
          <w:bCs/>
          <w:color w:val="FF0000"/>
          <w:sz w:val="24"/>
          <w:vertAlign w:val="superscript"/>
        </w:rPr>
        <w:t>[8]</w:t>
      </w:r>
      <w:r>
        <w:rPr>
          <w:rFonts w:hint="eastAsia"/>
          <w:bCs/>
          <w:color w:val="FF0000"/>
          <w:sz w:val="24"/>
        </w:rPr>
        <w:t>等研究发现，</w:t>
      </w:r>
      <w:r>
        <w:rPr>
          <w:bCs/>
          <w:color w:val="FF0000"/>
          <w:sz w:val="24"/>
        </w:rPr>
        <w:t>microRNA-21</w:t>
      </w:r>
      <w:r>
        <w:rPr>
          <w:rFonts w:hint="eastAsia"/>
          <w:bCs/>
          <w:color w:val="FF0000"/>
          <w:sz w:val="24"/>
        </w:rPr>
        <w:t>表达水平升高可显著增大支气管哮喘的发病风险，甚至恶化病情。而对于支气管哮喘患者进行IL-12与microRNA-21表达检测发现</w:t>
      </w:r>
      <w:r>
        <w:rPr>
          <w:rFonts w:hint="eastAsia"/>
          <w:bCs/>
          <w:color w:val="FF0000"/>
          <w:sz w:val="24"/>
          <w:vertAlign w:val="superscript"/>
        </w:rPr>
        <w:t>[9]</w:t>
      </w:r>
      <w:r>
        <w:rPr>
          <w:rFonts w:hint="eastAsia"/>
          <w:bCs/>
          <w:color w:val="FF0000"/>
          <w:sz w:val="24"/>
        </w:rPr>
        <w:t>，发现microRNA-21表达水平明显升高，</w:t>
      </w:r>
      <w:r>
        <w:rPr>
          <w:bCs/>
          <w:color w:val="FF0000"/>
          <w:sz w:val="24"/>
        </w:rPr>
        <w:t>IL-12</w:t>
      </w:r>
      <w:r>
        <w:rPr>
          <w:rFonts w:hint="eastAsia"/>
          <w:bCs/>
          <w:color w:val="FF0000"/>
          <w:sz w:val="24"/>
        </w:rPr>
        <w:t>表达水平随之降低，与健康对照组差异比较具有统计学意义(P＜0.05)；此外，颜世军</w:t>
      </w:r>
      <w:r>
        <w:rPr>
          <w:rFonts w:hint="eastAsia"/>
          <w:bCs/>
          <w:color w:val="FF0000"/>
          <w:sz w:val="24"/>
          <w:vertAlign w:val="superscript"/>
        </w:rPr>
        <w:t>[10]</w:t>
      </w:r>
      <w:r>
        <w:rPr>
          <w:rFonts w:hint="eastAsia"/>
          <w:bCs/>
          <w:color w:val="FF0000"/>
          <w:sz w:val="24"/>
        </w:rPr>
        <w:t>等研究指出，IL-12表达水平与microRNA-21表达水平呈负相关。在本研究中，治疗后，观察组患者的IL-12表达水平升高幅度大于对照组、microRNA-21表达水平降低幅度大于对照组，差异具有统计学意义(P＜0.05)；进一步提示孟鲁司特与激素吸入治疗支气管哮喘的疗效，可能与升高IL-12表达水平、降低microRNA-21表达水平有关。</w:t>
      </w:r>
    </w:p>
    <w:p>
      <w:pPr>
        <w:ind w:firstLine="495"/>
        <w:rPr>
          <w:bCs/>
          <w:color w:val="000000"/>
          <w:sz w:val="24"/>
        </w:rPr>
      </w:pPr>
      <w:r>
        <w:rPr>
          <w:rFonts w:hint="eastAsia"/>
          <w:bCs/>
          <w:color w:val="000000"/>
          <w:sz w:val="24"/>
        </w:rPr>
        <w:t>综上所述，孟鲁司特与激素吸入治疗可协同控制支气管哮喘的病情，改善肺功能，对于升高IL-12表达水平、降低microRNA-21表达水平具有积极作用，值得临床推广使用。</w:t>
      </w:r>
    </w:p>
    <w:p>
      <w:pPr>
        <w:rPr>
          <w:b/>
          <w:bCs/>
          <w:color w:val="000000"/>
          <w:sz w:val="24"/>
        </w:rPr>
      </w:pPr>
      <w:r>
        <w:rPr>
          <w:b/>
          <w:bCs/>
          <w:color w:val="000000"/>
          <w:sz w:val="24"/>
        </w:rPr>
        <w:t>参考文献：</w:t>
      </w:r>
    </w:p>
    <w:p>
      <w:pPr>
        <w:rPr>
          <w:rFonts w:hint="eastAsia"/>
          <w:color w:val="FF0000"/>
          <w:sz w:val="24"/>
        </w:rPr>
      </w:pPr>
      <w:r>
        <w:rPr>
          <w:rFonts w:hint="eastAsia"/>
          <w:color w:val="FF0000"/>
          <w:sz w:val="24"/>
        </w:rPr>
        <w:t>[1]佟毅,刘丽芬,王迪等.布地奈德单药与联合孟鲁司特对发作期变异性支气管哮喘血清总IgE水平变化的影响比较[J].临床肺科杂志,2016,21(5):788-791.</w:t>
      </w:r>
    </w:p>
    <w:p>
      <w:pPr>
        <w:rPr>
          <w:rFonts w:hint="eastAsia"/>
          <w:color w:val="FF0000"/>
          <w:sz w:val="24"/>
        </w:rPr>
      </w:pPr>
      <w:r>
        <w:rPr>
          <w:rFonts w:hint="eastAsia"/>
          <w:color w:val="FF0000"/>
          <w:sz w:val="24"/>
        </w:rPr>
        <w:t xml:space="preserve">[2] Fogli S,Stefanelli F,Neri T,et al.Montelukast prevents </w:t>
      </w:r>
      <w:r>
        <w:rPr>
          <w:color w:val="FF0000"/>
          <w:sz w:val="24"/>
        </w:rPr>
        <w:t>M</w:t>
      </w:r>
      <w:r>
        <w:rPr>
          <w:rFonts w:hint="eastAsia"/>
          <w:color w:val="FF0000"/>
          <w:sz w:val="24"/>
        </w:rPr>
        <w:t>icroparticle-induced inflammatory and functional alterations inhuman bronchial smooth muscle cells [J].Pharmacological Research,2013,76:149-156.</w:t>
      </w:r>
    </w:p>
    <w:p>
      <w:pPr>
        <w:rPr>
          <w:rFonts w:hint="eastAsia"/>
          <w:color w:val="FF0000"/>
          <w:sz w:val="24"/>
        </w:rPr>
      </w:pPr>
      <w:r>
        <w:rPr>
          <w:rFonts w:hint="eastAsia"/>
          <w:color w:val="FF0000"/>
          <w:sz w:val="24"/>
        </w:rPr>
        <w:t>[3]</w:t>
      </w:r>
      <w:r>
        <w:rPr>
          <w:color w:val="FF0000"/>
          <w:sz w:val="24"/>
        </w:rPr>
        <w:t xml:space="preserve"> </w:t>
      </w:r>
      <w:r>
        <w:rPr>
          <w:rFonts w:hint="eastAsia"/>
          <w:color w:val="FF0000"/>
          <w:sz w:val="24"/>
        </w:rPr>
        <w:t>中华医学会呼吸病学会哮喘学组.支气管哮喘防治指南(支气管哮喘的定义、诊断、治疗、疗效判断标准及教育和管理方案).中华结核与呼吸杂志,2003,2</w:t>
      </w:r>
      <w:r>
        <w:rPr>
          <w:color w:val="FF0000"/>
          <w:sz w:val="24"/>
        </w:rPr>
        <w:t>6(3):132.</w:t>
      </w:r>
    </w:p>
    <w:p>
      <w:pPr>
        <w:rPr>
          <w:rFonts w:hint="eastAsia"/>
          <w:color w:val="FF0000"/>
          <w:sz w:val="24"/>
        </w:rPr>
      </w:pPr>
      <w:r>
        <w:rPr>
          <w:rFonts w:hint="eastAsia"/>
          <w:color w:val="FF0000"/>
          <w:sz w:val="24"/>
        </w:rPr>
        <w:t>[4]谢伟国,江莲,谢诤等.孟鲁斯特联合信必可都保治疗支气管哮喘疗效观察[J].临床肺科杂志,2014,09(11):1966-1968.</w:t>
      </w:r>
    </w:p>
    <w:p>
      <w:pPr>
        <w:rPr>
          <w:rFonts w:hint="eastAsia"/>
          <w:color w:val="FF0000"/>
          <w:sz w:val="24"/>
        </w:rPr>
      </w:pPr>
      <w:r>
        <w:rPr>
          <w:rFonts w:hint="eastAsia"/>
          <w:color w:val="FF0000"/>
          <w:sz w:val="24"/>
        </w:rPr>
        <w:t xml:space="preserve">[5]Wan D,Zhang X,Liu X,et al.Protection of montelukast on OVA- induced eosinophilic gastroenteritis via modulating IL-5,eotaxin-1 and MBP expression </w:t>
      </w:r>
      <w:r>
        <w:rPr>
          <w:color w:val="FF0000"/>
          <w:sz w:val="24"/>
        </w:rPr>
        <w:t>[J].</w:t>
      </w:r>
      <w:r>
        <w:rPr>
          <w:rFonts w:hint="eastAsia"/>
          <w:color w:val="FF0000"/>
          <w:sz w:val="24"/>
        </w:rPr>
        <w:t>Immunopharmacology and Immunotoxicology,2013,35(5):625-626.</w:t>
      </w:r>
    </w:p>
    <w:p>
      <w:pPr>
        <w:rPr>
          <w:rFonts w:hint="eastAsia"/>
          <w:color w:val="FF0000"/>
          <w:sz w:val="24"/>
        </w:rPr>
      </w:pPr>
      <w:r>
        <w:rPr>
          <w:rFonts w:hint="eastAsia"/>
          <w:color w:val="FF0000"/>
          <w:sz w:val="24"/>
        </w:rPr>
        <w:t>[6]李开为.小儿支气管哮喘急性发作期呼吸道感染的病原学检测及耐药性分析[J].中华医院感染学杂志,2013,23(13):3185-3187.</w:t>
      </w:r>
    </w:p>
    <w:p>
      <w:pPr>
        <w:rPr>
          <w:rFonts w:hint="eastAsia"/>
          <w:color w:val="FF0000"/>
          <w:sz w:val="24"/>
        </w:rPr>
      </w:pPr>
      <w:r>
        <w:rPr>
          <w:rFonts w:hint="eastAsia"/>
          <w:color w:val="FF0000"/>
          <w:sz w:val="24"/>
        </w:rPr>
        <w:t>[7]刘德二.顺尔宁联合丙卡特罗治疗小儿支原体肺炎合并哮喘急性发作的疗效及对气道细胞因子的影响分析[J].中国妇幼保健,2015,30(17):2832-2834.</w:t>
      </w:r>
    </w:p>
    <w:p>
      <w:pPr>
        <w:rPr>
          <w:rFonts w:hint="eastAsia"/>
          <w:color w:val="FF0000"/>
          <w:sz w:val="24"/>
        </w:rPr>
      </w:pPr>
      <w:r>
        <w:rPr>
          <w:rFonts w:hint="eastAsia"/>
          <w:color w:val="FF0000"/>
          <w:sz w:val="24"/>
        </w:rPr>
        <w:t>[8]程诗亮,江春燕,倪美良等.miR-21与IL-12在儿童支气管哮喘血清中的含量及意义[J].浙江临床医学,2016,07(2):347-348.</w:t>
      </w:r>
    </w:p>
    <w:p>
      <w:pPr>
        <w:rPr>
          <w:rFonts w:hint="eastAsia"/>
          <w:color w:val="FF0000"/>
          <w:sz w:val="24"/>
        </w:rPr>
      </w:pPr>
      <w:r>
        <w:rPr>
          <w:rFonts w:hint="eastAsia"/>
          <w:color w:val="FF0000"/>
          <w:sz w:val="24"/>
        </w:rPr>
        <w:t>[9]</w:t>
      </w:r>
      <w:r>
        <w:rPr>
          <w:rFonts w:hint="eastAsia"/>
          <w:color w:val="FF0000"/>
        </w:rPr>
        <w:t xml:space="preserve"> </w:t>
      </w:r>
      <w:r>
        <w:rPr>
          <w:rFonts w:hint="eastAsia"/>
          <w:color w:val="FF0000"/>
          <w:sz w:val="24"/>
        </w:rPr>
        <w:t xml:space="preserve">Wang TY,Shang YX,Zhang H.Diagnostic values of fractional exhaled </w:t>
      </w:r>
      <w:r>
        <w:rPr>
          <w:color w:val="FF0000"/>
          <w:sz w:val="24"/>
        </w:rPr>
        <w:t>nitric oxide for typical bronchial asthma and cough variant</w:t>
      </w:r>
      <w:r>
        <w:rPr>
          <w:rFonts w:hint="eastAsia"/>
          <w:color w:val="FF0000"/>
          <w:sz w:val="24"/>
        </w:rPr>
        <w:t xml:space="preserve"> asthma in children</w:t>
      </w:r>
      <w:r>
        <w:rPr>
          <w:color w:val="FF0000"/>
          <w:sz w:val="24"/>
        </w:rPr>
        <w:t>[J].</w:t>
      </w:r>
      <w:r>
        <w:rPr>
          <w:rFonts w:hint="eastAsia"/>
          <w:color w:val="FF0000"/>
          <w:sz w:val="24"/>
        </w:rPr>
        <w:t>Zhongguo Dang Dai Er Ke Za Zhi.2015,17(8):800-805.</w:t>
      </w:r>
    </w:p>
    <w:p>
      <w:pPr>
        <w:rPr>
          <w:color w:val="FF0000"/>
          <w:sz w:val="24"/>
        </w:rPr>
      </w:pPr>
      <w:r>
        <w:rPr>
          <w:rFonts w:hint="eastAsia"/>
          <w:color w:val="FF0000"/>
          <w:sz w:val="24"/>
        </w:rPr>
        <w:t>[10]颜世军,潘秋莎,周炳文等.microRNA－1与microRNA－126在支气管哮喘急性发作期患儿外周血中的表达及诊断价值[J].河北医学,2016,22(5):714-716.</w:t>
      </w: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2"/>
  </w:compat>
  <w:rsids>
    <w:rsidRoot w:val="00172A27"/>
    <w:rsid w:val="000023E3"/>
    <w:rsid w:val="00005A57"/>
    <w:rsid w:val="00013C7F"/>
    <w:rsid w:val="000143D3"/>
    <w:rsid w:val="000146D8"/>
    <w:rsid w:val="00017642"/>
    <w:rsid w:val="0002179A"/>
    <w:rsid w:val="00045A3A"/>
    <w:rsid w:val="00052E7C"/>
    <w:rsid w:val="000604C0"/>
    <w:rsid w:val="000634A3"/>
    <w:rsid w:val="00070E85"/>
    <w:rsid w:val="0007276A"/>
    <w:rsid w:val="000758E9"/>
    <w:rsid w:val="0008079B"/>
    <w:rsid w:val="00081A04"/>
    <w:rsid w:val="0008283C"/>
    <w:rsid w:val="00085160"/>
    <w:rsid w:val="000961CC"/>
    <w:rsid w:val="000A06DD"/>
    <w:rsid w:val="000A1437"/>
    <w:rsid w:val="000B03BD"/>
    <w:rsid w:val="000B4645"/>
    <w:rsid w:val="000C3D57"/>
    <w:rsid w:val="000C4DAC"/>
    <w:rsid w:val="000C4DB7"/>
    <w:rsid w:val="000C508F"/>
    <w:rsid w:val="000C5BA3"/>
    <w:rsid w:val="000D1B70"/>
    <w:rsid w:val="000D37AA"/>
    <w:rsid w:val="000D5EA3"/>
    <w:rsid w:val="000D653D"/>
    <w:rsid w:val="000D663A"/>
    <w:rsid w:val="000D7E26"/>
    <w:rsid w:val="000E3663"/>
    <w:rsid w:val="000F2300"/>
    <w:rsid w:val="00100F1C"/>
    <w:rsid w:val="00102A1C"/>
    <w:rsid w:val="00114A71"/>
    <w:rsid w:val="00114EF2"/>
    <w:rsid w:val="00116BEA"/>
    <w:rsid w:val="00122B0A"/>
    <w:rsid w:val="00125703"/>
    <w:rsid w:val="00126D78"/>
    <w:rsid w:val="0012753A"/>
    <w:rsid w:val="0013009D"/>
    <w:rsid w:val="0014500F"/>
    <w:rsid w:val="001524B9"/>
    <w:rsid w:val="0015468A"/>
    <w:rsid w:val="001564A7"/>
    <w:rsid w:val="0016279B"/>
    <w:rsid w:val="00164B1F"/>
    <w:rsid w:val="001673D4"/>
    <w:rsid w:val="00175330"/>
    <w:rsid w:val="00182FAC"/>
    <w:rsid w:val="001832A6"/>
    <w:rsid w:val="0018673A"/>
    <w:rsid w:val="00192CF3"/>
    <w:rsid w:val="0019608E"/>
    <w:rsid w:val="0019659B"/>
    <w:rsid w:val="001979D7"/>
    <w:rsid w:val="001A05D8"/>
    <w:rsid w:val="001A10FE"/>
    <w:rsid w:val="001A5CB1"/>
    <w:rsid w:val="001B62B4"/>
    <w:rsid w:val="001C2D27"/>
    <w:rsid w:val="001C4BEC"/>
    <w:rsid w:val="001D12A4"/>
    <w:rsid w:val="001D5241"/>
    <w:rsid w:val="001D5E53"/>
    <w:rsid w:val="001E2F65"/>
    <w:rsid w:val="001F7B5A"/>
    <w:rsid w:val="002009DA"/>
    <w:rsid w:val="0020639B"/>
    <w:rsid w:val="00207635"/>
    <w:rsid w:val="002078A5"/>
    <w:rsid w:val="0021034F"/>
    <w:rsid w:val="002106AF"/>
    <w:rsid w:val="0021386C"/>
    <w:rsid w:val="0021390F"/>
    <w:rsid w:val="00214EFF"/>
    <w:rsid w:val="00216FE7"/>
    <w:rsid w:val="002235BE"/>
    <w:rsid w:val="00232440"/>
    <w:rsid w:val="00232640"/>
    <w:rsid w:val="00234555"/>
    <w:rsid w:val="00237B03"/>
    <w:rsid w:val="00240EF3"/>
    <w:rsid w:val="00241261"/>
    <w:rsid w:val="002416C1"/>
    <w:rsid w:val="00245F07"/>
    <w:rsid w:val="00247049"/>
    <w:rsid w:val="00260CA5"/>
    <w:rsid w:val="00262628"/>
    <w:rsid w:val="00266756"/>
    <w:rsid w:val="002774DE"/>
    <w:rsid w:val="00282F15"/>
    <w:rsid w:val="00283E13"/>
    <w:rsid w:val="00283ECA"/>
    <w:rsid w:val="0028434F"/>
    <w:rsid w:val="00285E8E"/>
    <w:rsid w:val="00290930"/>
    <w:rsid w:val="00296D0C"/>
    <w:rsid w:val="002A46B9"/>
    <w:rsid w:val="002B112A"/>
    <w:rsid w:val="002B427D"/>
    <w:rsid w:val="002B4338"/>
    <w:rsid w:val="002B5B85"/>
    <w:rsid w:val="002C38A5"/>
    <w:rsid w:val="002D1F55"/>
    <w:rsid w:val="002E595A"/>
    <w:rsid w:val="002E79B6"/>
    <w:rsid w:val="002F0F2E"/>
    <w:rsid w:val="00312FAF"/>
    <w:rsid w:val="003175FC"/>
    <w:rsid w:val="00320283"/>
    <w:rsid w:val="00325017"/>
    <w:rsid w:val="0033322E"/>
    <w:rsid w:val="00334D5A"/>
    <w:rsid w:val="003359DD"/>
    <w:rsid w:val="00342509"/>
    <w:rsid w:val="00355F65"/>
    <w:rsid w:val="00357770"/>
    <w:rsid w:val="00362FC7"/>
    <w:rsid w:val="00365981"/>
    <w:rsid w:val="00371DD4"/>
    <w:rsid w:val="00377352"/>
    <w:rsid w:val="00381387"/>
    <w:rsid w:val="00386F0D"/>
    <w:rsid w:val="0039697D"/>
    <w:rsid w:val="00397992"/>
    <w:rsid w:val="003A1592"/>
    <w:rsid w:val="003A6A97"/>
    <w:rsid w:val="003A6ABA"/>
    <w:rsid w:val="003B3340"/>
    <w:rsid w:val="003C283C"/>
    <w:rsid w:val="003C60C8"/>
    <w:rsid w:val="003C7DB3"/>
    <w:rsid w:val="003D1F41"/>
    <w:rsid w:val="003D31A0"/>
    <w:rsid w:val="003E52B7"/>
    <w:rsid w:val="003E7C2F"/>
    <w:rsid w:val="004029B5"/>
    <w:rsid w:val="00406914"/>
    <w:rsid w:val="00407848"/>
    <w:rsid w:val="004107BC"/>
    <w:rsid w:val="00413C4E"/>
    <w:rsid w:val="00415FCC"/>
    <w:rsid w:val="00420008"/>
    <w:rsid w:val="00424B3A"/>
    <w:rsid w:val="00425F85"/>
    <w:rsid w:val="00433F0F"/>
    <w:rsid w:val="0043705E"/>
    <w:rsid w:val="0044671B"/>
    <w:rsid w:val="00447673"/>
    <w:rsid w:val="0045281D"/>
    <w:rsid w:val="00452CBF"/>
    <w:rsid w:val="00454931"/>
    <w:rsid w:val="00466BA3"/>
    <w:rsid w:val="00480096"/>
    <w:rsid w:val="00481F40"/>
    <w:rsid w:val="0048384E"/>
    <w:rsid w:val="004A2262"/>
    <w:rsid w:val="004A43F8"/>
    <w:rsid w:val="004A6BFF"/>
    <w:rsid w:val="004A7F72"/>
    <w:rsid w:val="004B04DE"/>
    <w:rsid w:val="004B4D2A"/>
    <w:rsid w:val="004B7DA3"/>
    <w:rsid w:val="004B7F3E"/>
    <w:rsid w:val="004C1310"/>
    <w:rsid w:val="004D08F8"/>
    <w:rsid w:val="004D0AD3"/>
    <w:rsid w:val="004D270F"/>
    <w:rsid w:val="004D3267"/>
    <w:rsid w:val="004D6534"/>
    <w:rsid w:val="004E0AAC"/>
    <w:rsid w:val="004E2D1D"/>
    <w:rsid w:val="004F032E"/>
    <w:rsid w:val="004F1D2A"/>
    <w:rsid w:val="004F3699"/>
    <w:rsid w:val="004F7202"/>
    <w:rsid w:val="00501E0F"/>
    <w:rsid w:val="0050483D"/>
    <w:rsid w:val="0051265F"/>
    <w:rsid w:val="00512A26"/>
    <w:rsid w:val="005138B6"/>
    <w:rsid w:val="0052016C"/>
    <w:rsid w:val="00522F7E"/>
    <w:rsid w:val="005273F4"/>
    <w:rsid w:val="005367A4"/>
    <w:rsid w:val="005433BB"/>
    <w:rsid w:val="00543AC6"/>
    <w:rsid w:val="005509FD"/>
    <w:rsid w:val="00550D22"/>
    <w:rsid w:val="005543C2"/>
    <w:rsid w:val="00554D7A"/>
    <w:rsid w:val="00557269"/>
    <w:rsid w:val="00560735"/>
    <w:rsid w:val="00563BE3"/>
    <w:rsid w:val="00565291"/>
    <w:rsid w:val="00567041"/>
    <w:rsid w:val="0057619E"/>
    <w:rsid w:val="00582D27"/>
    <w:rsid w:val="00583220"/>
    <w:rsid w:val="00586A26"/>
    <w:rsid w:val="005873ED"/>
    <w:rsid w:val="0059010B"/>
    <w:rsid w:val="00595D46"/>
    <w:rsid w:val="00597D4D"/>
    <w:rsid w:val="005A0B23"/>
    <w:rsid w:val="005A1386"/>
    <w:rsid w:val="005A2FF0"/>
    <w:rsid w:val="005A4A5D"/>
    <w:rsid w:val="005A5D99"/>
    <w:rsid w:val="005B26E3"/>
    <w:rsid w:val="005B726B"/>
    <w:rsid w:val="005C464F"/>
    <w:rsid w:val="005C7B5B"/>
    <w:rsid w:val="005D13DC"/>
    <w:rsid w:val="005D3B0A"/>
    <w:rsid w:val="005D5FD4"/>
    <w:rsid w:val="005E109C"/>
    <w:rsid w:val="0060472C"/>
    <w:rsid w:val="00610AF0"/>
    <w:rsid w:val="0061565D"/>
    <w:rsid w:val="00615752"/>
    <w:rsid w:val="00622592"/>
    <w:rsid w:val="006276AD"/>
    <w:rsid w:val="00627F66"/>
    <w:rsid w:val="006371E2"/>
    <w:rsid w:val="006478A1"/>
    <w:rsid w:val="006546C6"/>
    <w:rsid w:val="0066335D"/>
    <w:rsid w:val="00670D9E"/>
    <w:rsid w:val="00671B46"/>
    <w:rsid w:val="006738E6"/>
    <w:rsid w:val="006770D7"/>
    <w:rsid w:val="00682FBF"/>
    <w:rsid w:val="00686E98"/>
    <w:rsid w:val="006878EB"/>
    <w:rsid w:val="00693D83"/>
    <w:rsid w:val="00696B76"/>
    <w:rsid w:val="00696EEB"/>
    <w:rsid w:val="0069702B"/>
    <w:rsid w:val="006A28C5"/>
    <w:rsid w:val="006C040C"/>
    <w:rsid w:val="006C64FD"/>
    <w:rsid w:val="006C6E0C"/>
    <w:rsid w:val="006E0AEA"/>
    <w:rsid w:val="006E2049"/>
    <w:rsid w:val="006E6CB0"/>
    <w:rsid w:val="006F36B1"/>
    <w:rsid w:val="006F3F8C"/>
    <w:rsid w:val="006F623B"/>
    <w:rsid w:val="00704EB5"/>
    <w:rsid w:val="0071309E"/>
    <w:rsid w:val="00713269"/>
    <w:rsid w:val="00713A52"/>
    <w:rsid w:val="00713A64"/>
    <w:rsid w:val="00723878"/>
    <w:rsid w:val="0072423A"/>
    <w:rsid w:val="00724282"/>
    <w:rsid w:val="00727E79"/>
    <w:rsid w:val="00731AB8"/>
    <w:rsid w:val="00732B07"/>
    <w:rsid w:val="0074051F"/>
    <w:rsid w:val="00740CD2"/>
    <w:rsid w:val="0074548A"/>
    <w:rsid w:val="00750DFC"/>
    <w:rsid w:val="0075396F"/>
    <w:rsid w:val="0075560A"/>
    <w:rsid w:val="00756CBA"/>
    <w:rsid w:val="00756FC4"/>
    <w:rsid w:val="00760B52"/>
    <w:rsid w:val="00760DDE"/>
    <w:rsid w:val="0076174B"/>
    <w:rsid w:val="0076241F"/>
    <w:rsid w:val="00764E03"/>
    <w:rsid w:val="00766291"/>
    <w:rsid w:val="007678DB"/>
    <w:rsid w:val="00774E4B"/>
    <w:rsid w:val="00774FF4"/>
    <w:rsid w:val="007750F1"/>
    <w:rsid w:val="007764C8"/>
    <w:rsid w:val="00782441"/>
    <w:rsid w:val="0078295F"/>
    <w:rsid w:val="00783055"/>
    <w:rsid w:val="00790DB7"/>
    <w:rsid w:val="007A1DC4"/>
    <w:rsid w:val="007A3973"/>
    <w:rsid w:val="007A404A"/>
    <w:rsid w:val="007A4D3A"/>
    <w:rsid w:val="007A55C7"/>
    <w:rsid w:val="007B12A1"/>
    <w:rsid w:val="007B1A75"/>
    <w:rsid w:val="007B25B5"/>
    <w:rsid w:val="007B5682"/>
    <w:rsid w:val="007B6027"/>
    <w:rsid w:val="007C4399"/>
    <w:rsid w:val="007C517D"/>
    <w:rsid w:val="007C7DAB"/>
    <w:rsid w:val="007D3FC5"/>
    <w:rsid w:val="007D5948"/>
    <w:rsid w:val="007E2092"/>
    <w:rsid w:val="007E3542"/>
    <w:rsid w:val="0080492F"/>
    <w:rsid w:val="00806AEB"/>
    <w:rsid w:val="00807ACC"/>
    <w:rsid w:val="00810E39"/>
    <w:rsid w:val="00816A05"/>
    <w:rsid w:val="0083476F"/>
    <w:rsid w:val="00840E02"/>
    <w:rsid w:val="00851C8A"/>
    <w:rsid w:val="00854649"/>
    <w:rsid w:val="008550EB"/>
    <w:rsid w:val="0087292F"/>
    <w:rsid w:val="00873275"/>
    <w:rsid w:val="00876BDB"/>
    <w:rsid w:val="00877B68"/>
    <w:rsid w:val="00877C55"/>
    <w:rsid w:val="00882F47"/>
    <w:rsid w:val="0088641E"/>
    <w:rsid w:val="008A1CBF"/>
    <w:rsid w:val="008A2B16"/>
    <w:rsid w:val="008B1469"/>
    <w:rsid w:val="008B1590"/>
    <w:rsid w:val="008B21CD"/>
    <w:rsid w:val="008C2C6C"/>
    <w:rsid w:val="008C4371"/>
    <w:rsid w:val="008D78ED"/>
    <w:rsid w:val="008D7C5D"/>
    <w:rsid w:val="008E5A9F"/>
    <w:rsid w:val="008F1B97"/>
    <w:rsid w:val="008F3FDE"/>
    <w:rsid w:val="009002F4"/>
    <w:rsid w:val="00901D46"/>
    <w:rsid w:val="0090233C"/>
    <w:rsid w:val="00903422"/>
    <w:rsid w:val="00903CFC"/>
    <w:rsid w:val="00905FAF"/>
    <w:rsid w:val="00911331"/>
    <w:rsid w:val="009138D1"/>
    <w:rsid w:val="009212CF"/>
    <w:rsid w:val="00932A05"/>
    <w:rsid w:val="009502B6"/>
    <w:rsid w:val="00951316"/>
    <w:rsid w:val="00951B45"/>
    <w:rsid w:val="0095407E"/>
    <w:rsid w:val="009543FE"/>
    <w:rsid w:val="00955D36"/>
    <w:rsid w:val="0095611A"/>
    <w:rsid w:val="009617E7"/>
    <w:rsid w:val="0096318C"/>
    <w:rsid w:val="00963DD5"/>
    <w:rsid w:val="00964A76"/>
    <w:rsid w:val="00966A26"/>
    <w:rsid w:val="00972164"/>
    <w:rsid w:val="009900A9"/>
    <w:rsid w:val="00990819"/>
    <w:rsid w:val="00996116"/>
    <w:rsid w:val="00996DE7"/>
    <w:rsid w:val="009A3E1A"/>
    <w:rsid w:val="009A6C26"/>
    <w:rsid w:val="009B05C1"/>
    <w:rsid w:val="009B333E"/>
    <w:rsid w:val="009C4BC6"/>
    <w:rsid w:val="009C5360"/>
    <w:rsid w:val="009C77B7"/>
    <w:rsid w:val="009D4C52"/>
    <w:rsid w:val="009D5C7C"/>
    <w:rsid w:val="009D770B"/>
    <w:rsid w:val="009E06EE"/>
    <w:rsid w:val="009F2861"/>
    <w:rsid w:val="00A0178D"/>
    <w:rsid w:val="00A06DDA"/>
    <w:rsid w:val="00A07D1A"/>
    <w:rsid w:val="00A1576C"/>
    <w:rsid w:val="00A23D80"/>
    <w:rsid w:val="00A32CC8"/>
    <w:rsid w:val="00A36F82"/>
    <w:rsid w:val="00A37448"/>
    <w:rsid w:val="00A37732"/>
    <w:rsid w:val="00A37C3A"/>
    <w:rsid w:val="00A41979"/>
    <w:rsid w:val="00A41D7F"/>
    <w:rsid w:val="00A42E12"/>
    <w:rsid w:val="00A466CE"/>
    <w:rsid w:val="00A473E9"/>
    <w:rsid w:val="00A527CF"/>
    <w:rsid w:val="00A54276"/>
    <w:rsid w:val="00A617C2"/>
    <w:rsid w:val="00A61F42"/>
    <w:rsid w:val="00A62453"/>
    <w:rsid w:val="00A62C90"/>
    <w:rsid w:val="00A653B5"/>
    <w:rsid w:val="00A6675A"/>
    <w:rsid w:val="00A66C1E"/>
    <w:rsid w:val="00A6706B"/>
    <w:rsid w:val="00A707D9"/>
    <w:rsid w:val="00A800ED"/>
    <w:rsid w:val="00A82ED9"/>
    <w:rsid w:val="00A8657E"/>
    <w:rsid w:val="00A93BCA"/>
    <w:rsid w:val="00A96351"/>
    <w:rsid w:val="00AA03A1"/>
    <w:rsid w:val="00AA18E6"/>
    <w:rsid w:val="00AB6080"/>
    <w:rsid w:val="00AB6A06"/>
    <w:rsid w:val="00AB76AB"/>
    <w:rsid w:val="00AC10F9"/>
    <w:rsid w:val="00AC2F51"/>
    <w:rsid w:val="00AC3EE0"/>
    <w:rsid w:val="00AC4233"/>
    <w:rsid w:val="00AD0524"/>
    <w:rsid w:val="00AD31FC"/>
    <w:rsid w:val="00AD7587"/>
    <w:rsid w:val="00AE23BF"/>
    <w:rsid w:val="00AE547F"/>
    <w:rsid w:val="00AE6CD1"/>
    <w:rsid w:val="00AF2746"/>
    <w:rsid w:val="00AF44B1"/>
    <w:rsid w:val="00B01EC0"/>
    <w:rsid w:val="00B023E3"/>
    <w:rsid w:val="00B0423C"/>
    <w:rsid w:val="00B07AA6"/>
    <w:rsid w:val="00B07D3B"/>
    <w:rsid w:val="00B12573"/>
    <w:rsid w:val="00B15A9F"/>
    <w:rsid w:val="00B162BF"/>
    <w:rsid w:val="00B17677"/>
    <w:rsid w:val="00B22218"/>
    <w:rsid w:val="00B276C7"/>
    <w:rsid w:val="00B2785F"/>
    <w:rsid w:val="00B402D8"/>
    <w:rsid w:val="00B420D3"/>
    <w:rsid w:val="00B45572"/>
    <w:rsid w:val="00B56E23"/>
    <w:rsid w:val="00B57603"/>
    <w:rsid w:val="00B61A71"/>
    <w:rsid w:val="00B63DDA"/>
    <w:rsid w:val="00B734F4"/>
    <w:rsid w:val="00B74EF3"/>
    <w:rsid w:val="00B76434"/>
    <w:rsid w:val="00B7765C"/>
    <w:rsid w:val="00B81170"/>
    <w:rsid w:val="00B9221A"/>
    <w:rsid w:val="00B95868"/>
    <w:rsid w:val="00BA3EE4"/>
    <w:rsid w:val="00BA5EE4"/>
    <w:rsid w:val="00BB104D"/>
    <w:rsid w:val="00BB4463"/>
    <w:rsid w:val="00BC1FED"/>
    <w:rsid w:val="00BC2AD8"/>
    <w:rsid w:val="00BC55BB"/>
    <w:rsid w:val="00BC58C1"/>
    <w:rsid w:val="00BC7DE5"/>
    <w:rsid w:val="00BD1131"/>
    <w:rsid w:val="00BD427E"/>
    <w:rsid w:val="00BE15DB"/>
    <w:rsid w:val="00BE2F66"/>
    <w:rsid w:val="00BE631F"/>
    <w:rsid w:val="00BE6827"/>
    <w:rsid w:val="00BF53C4"/>
    <w:rsid w:val="00C03B06"/>
    <w:rsid w:val="00C11A97"/>
    <w:rsid w:val="00C17DD7"/>
    <w:rsid w:val="00C2498B"/>
    <w:rsid w:val="00C3206F"/>
    <w:rsid w:val="00C3285E"/>
    <w:rsid w:val="00C33216"/>
    <w:rsid w:val="00C336A8"/>
    <w:rsid w:val="00C336AC"/>
    <w:rsid w:val="00C3528F"/>
    <w:rsid w:val="00C36F44"/>
    <w:rsid w:val="00C37403"/>
    <w:rsid w:val="00C40715"/>
    <w:rsid w:val="00C519F9"/>
    <w:rsid w:val="00C53A8E"/>
    <w:rsid w:val="00C54ADA"/>
    <w:rsid w:val="00C613A0"/>
    <w:rsid w:val="00C6478F"/>
    <w:rsid w:val="00C651AE"/>
    <w:rsid w:val="00C82111"/>
    <w:rsid w:val="00C857F2"/>
    <w:rsid w:val="00C863DC"/>
    <w:rsid w:val="00C910AB"/>
    <w:rsid w:val="00C9215A"/>
    <w:rsid w:val="00C9259D"/>
    <w:rsid w:val="00C92BED"/>
    <w:rsid w:val="00C92CA4"/>
    <w:rsid w:val="00C95CA3"/>
    <w:rsid w:val="00CA0312"/>
    <w:rsid w:val="00CA088B"/>
    <w:rsid w:val="00CA5E95"/>
    <w:rsid w:val="00CC0BFA"/>
    <w:rsid w:val="00CC252D"/>
    <w:rsid w:val="00CC4C83"/>
    <w:rsid w:val="00CE2D9D"/>
    <w:rsid w:val="00CF00DD"/>
    <w:rsid w:val="00D0209B"/>
    <w:rsid w:val="00D02BD1"/>
    <w:rsid w:val="00D11334"/>
    <w:rsid w:val="00D122CF"/>
    <w:rsid w:val="00D141D7"/>
    <w:rsid w:val="00D168BB"/>
    <w:rsid w:val="00D17F22"/>
    <w:rsid w:val="00D23860"/>
    <w:rsid w:val="00D23FB0"/>
    <w:rsid w:val="00D25508"/>
    <w:rsid w:val="00D27E02"/>
    <w:rsid w:val="00D32A0A"/>
    <w:rsid w:val="00D462EA"/>
    <w:rsid w:val="00D46D5F"/>
    <w:rsid w:val="00D50C5A"/>
    <w:rsid w:val="00D51A8E"/>
    <w:rsid w:val="00D5289A"/>
    <w:rsid w:val="00D54BB5"/>
    <w:rsid w:val="00D61C90"/>
    <w:rsid w:val="00D67A14"/>
    <w:rsid w:val="00D80780"/>
    <w:rsid w:val="00D81B83"/>
    <w:rsid w:val="00D825B2"/>
    <w:rsid w:val="00D82C72"/>
    <w:rsid w:val="00D83387"/>
    <w:rsid w:val="00D86FAC"/>
    <w:rsid w:val="00D879DC"/>
    <w:rsid w:val="00D93E09"/>
    <w:rsid w:val="00D94C8B"/>
    <w:rsid w:val="00D95819"/>
    <w:rsid w:val="00D97C71"/>
    <w:rsid w:val="00DA4F1C"/>
    <w:rsid w:val="00DA66B0"/>
    <w:rsid w:val="00DB62B6"/>
    <w:rsid w:val="00DB717A"/>
    <w:rsid w:val="00DC0D21"/>
    <w:rsid w:val="00DC2A0C"/>
    <w:rsid w:val="00DC2AAF"/>
    <w:rsid w:val="00DC6C48"/>
    <w:rsid w:val="00DC760A"/>
    <w:rsid w:val="00DD57A6"/>
    <w:rsid w:val="00DD68D3"/>
    <w:rsid w:val="00DE1107"/>
    <w:rsid w:val="00DE5E99"/>
    <w:rsid w:val="00DF171C"/>
    <w:rsid w:val="00DF213B"/>
    <w:rsid w:val="00DF27F7"/>
    <w:rsid w:val="00DF3D7D"/>
    <w:rsid w:val="00DF52AB"/>
    <w:rsid w:val="00DF5CEC"/>
    <w:rsid w:val="00DF67FA"/>
    <w:rsid w:val="00DF6CCB"/>
    <w:rsid w:val="00E01B4E"/>
    <w:rsid w:val="00E026A9"/>
    <w:rsid w:val="00E1143D"/>
    <w:rsid w:val="00E164D8"/>
    <w:rsid w:val="00E328FC"/>
    <w:rsid w:val="00E341BD"/>
    <w:rsid w:val="00E45161"/>
    <w:rsid w:val="00E5128D"/>
    <w:rsid w:val="00E51CBC"/>
    <w:rsid w:val="00E613EF"/>
    <w:rsid w:val="00E660F8"/>
    <w:rsid w:val="00E70E83"/>
    <w:rsid w:val="00E72D13"/>
    <w:rsid w:val="00E806EE"/>
    <w:rsid w:val="00E812B9"/>
    <w:rsid w:val="00E8604F"/>
    <w:rsid w:val="00E921EC"/>
    <w:rsid w:val="00E95A93"/>
    <w:rsid w:val="00E97E68"/>
    <w:rsid w:val="00EA7807"/>
    <w:rsid w:val="00EB0CA5"/>
    <w:rsid w:val="00EB48FC"/>
    <w:rsid w:val="00EB7C92"/>
    <w:rsid w:val="00EC1E51"/>
    <w:rsid w:val="00EC2D8C"/>
    <w:rsid w:val="00ED0570"/>
    <w:rsid w:val="00EE540D"/>
    <w:rsid w:val="00EE5A83"/>
    <w:rsid w:val="00EF48C2"/>
    <w:rsid w:val="00EF588B"/>
    <w:rsid w:val="00EF5EC8"/>
    <w:rsid w:val="00F07E3B"/>
    <w:rsid w:val="00F13BDD"/>
    <w:rsid w:val="00F2045B"/>
    <w:rsid w:val="00F2182E"/>
    <w:rsid w:val="00F25861"/>
    <w:rsid w:val="00F2632C"/>
    <w:rsid w:val="00F26CCD"/>
    <w:rsid w:val="00F3235A"/>
    <w:rsid w:val="00F33D16"/>
    <w:rsid w:val="00F34837"/>
    <w:rsid w:val="00F3760C"/>
    <w:rsid w:val="00F43B19"/>
    <w:rsid w:val="00F47C97"/>
    <w:rsid w:val="00F50578"/>
    <w:rsid w:val="00F60F06"/>
    <w:rsid w:val="00F64C52"/>
    <w:rsid w:val="00F705A9"/>
    <w:rsid w:val="00F715AA"/>
    <w:rsid w:val="00F81B63"/>
    <w:rsid w:val="00F841AA"/>
    <w:rsid w:val="00F9267C"/>
    <w:rsid w:val="00F97F79"/>
    <w:rsid w:val="00FA4E73"/>
    <w:rsid w:val="00FB39BB"/>
    <w:rsid w:val="00FB7B79"/>
    <w:rsid w:val="00FC1560"/>
    <w:rsid w:val="00FC1587"/>
    <w:rsid w:val="00FC3F28"/>
    <w:rsid w:val="00FC4FAB"/>
    <w:rsid w:val="00FD1E8E"/>
    <w:rsid w:val="00FD3826"/>
    <w:rsid w:val="00FF28B9"/>
    <w:rsid w:val="00FF29FA"/>
    <w:rsid w:val="00FF42E9"/>
    <w:rsid w:val="07541401"/>
    <w:rsid w:val="14F86E49"/>
    <w:rsid w:val="24E10BDA"/>
    <w:rsid w:val="31133FE3"/>
    <w:rsid w:val="333D6830"/>
    <w:rsid w:val="3B094EA1"/>
    <w:rsid w:val="3BA27EE4"/>
    <w:rsid w:val="41137BF5"/>
    <w:rsid w:val="425A6CC3"/>
    <w:rsid w:val="44E86BAE"/>
    <w:rsid w:val="46E54BAF"/>
    <w:rsid w:val="4AFF59D1"/>
    <w:rsid w:val="5A5F1294"/>
    <w:rsid w:val="63042512"/>
    <w:rsid w:val="66C53767"/>
    <w:rsid w:val="6AF21D38"/>
    <w:rsid w:val="6B121CD6"/>
    <w:rsid w:val="726441B6"/>
    <w:rsid w:val="732E574C"/>
    <w:rsid w:val="75EF1DE4"/>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qFormat/>
    <w:uiPriority w:val="0"/>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semiHidden/>
    <w:qFormat/>
    <w:uiPriority w:val="0"/>
    <w:rPr>
      <w:b/>
      <w:bCs/>
    </w:rPr>
  </w:style>
  <w:style w:type="paragraph" w:styleId="3">
    <w:name w:val="annotation text"/>
    <w:basedOn w:val="1"/>
    <w:semiHidden/>
    <w:qFormat/>
    <w:uiPriority w:val="0"/>
    <w:pPr>
      <w:jc w:val="left"/>
    </w:pPr>
  </w:style>
  <w:style w:type="paragraph" w:styleId="4">
    <w:name w:val="Balloon Text"/>
    <w:basedOn w:val="1"/>
    <w:semiHidden/>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spacing w:before="100" w:beforeAutospacing="1" w:after="100" w:afterAutospacing="1"/>
      <w:jc w:val="left"/>
    </w:pPr>
    <w:rPr>
      <w:kern w:val="0"/>
      <w:sz w:val="24"/>
    </w:rPr>
  </w:style>
  <w:style w:type="character" w:styleId="9">
    <w:name w:val="annotation reference"/>
    <w:basedOn w:val="8"/>
    <w:semiHidden/>
    <w:qFormat/>
    <w:uiPriority w:val="0"/>
    <w:rPr>
      <w:sz w:val="21"/>
      <w:szCs w:val="21"/>
    </w:rPr>
  </w:style>
  <w:style w:type="character" w:customStyle="1" w:styleId="11">
    <w:name w:val="high-light-bg"/>
    <w:basedOn w:val="8"/>
    <w:qFormat/>
    <w:uiPriority w:val="0"/>
  </w:style>
  <w:style w:type="character" w:customStyle="1" w:styleId="12">
    <w:name w:val="apple-converted-space"/>
    <w:basedOn w:val="8"/>
    <w:qFormat/>
    <w:uiPriority w:val="0"/>
  </w:style>
  <w:style w:type="paragraph" w:customStyle="1" w:styleId="13">
    <w:name w:val="p0"/>
    <w:basedOn w:val="1"/>
    <w:qFormat/>
    <w:uiPriority w:val="0"/>
    <w:pPr>
      <w:widowControl/>
    </w:pPr>
    <w:rPr>
      <w:kern w:val="0"/>
      <w:szCs w:val="21"/>
    </w:rPr>
  </w:style>
  <w:style w:type="table" w:customStyle="1" w:styleId="14">
    <w:name w:val="浅色列表1"/>
    <w:basedOn w:val="10"/>
    <w:qFormat/>
    <w:uiPriority w:val="61"/>
    <w:tblPr>
      <w:tblBorders>
        <w:top w:val="single" w:color="000000" w:sz="8" w:space="0"/>
        <w:left w:val="single" w:color="000000" w:sz="8" w:space="0"/>
        <w:bottom w:val="single" w:color="000000" w:sz="8" w:space="0"/>
        <w:right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color w:val="FFFFFF"/>
      </w:rPr>
      <w:tblPr>
        <w:tblLayout w:type="fixed"/>
      </w:tblPr>
      <w:tcPr>
        <w:shd w:val="clear" w:color="auto" w:fill="000000"/>
      </w:tcPr>
    </w:tblStylePr>
    <w:tblStylePr w:type="lastRow">
      <w:pPr>
        <w:spacing w:before="0" w:after="0" w:line="240" w:lineRule="auto"/>
      </w:pPr>
      <w:rPr>
        <w:b/>
        <w:bCs/>
      </w:rPr>
      <w:tblPr>
        <w:tblLayout w:type="fixed"/>
      </w:tblPr>
      <w:tcPr>
        <w:tcBorders>
          <w:top w:val="double" w:color="000000" w:sz="6" w:space="0"/>
          <w:left w:val="single" w:color="000000" w:sz="8" w:space="0"/>
          <w:bottom w:val="single" w:color="000000" w:sz="8" w:space="0"/>
          <w:right w:val="single" w:color="000000" w:sz="8" w:space="0"/>
          <w:insideH w:val="nil"/>
          <w:insideV w:val="nil"/>
          <w:tl2br w:val="nil"/>
          <w:tr2bl w:val="nil"/>
        </w:tcBorders>
      </w:tcPr>
    </w:tblStylePr>
    <w:tblStylePr w:type="firstCol">
      <w:rPr>
        <w:b/>
        <w:bCs/>
      </w:rPr>
    </w:tblStylePr>
    <w:tblStylePr w:type="lastCol">
      <w:rPr>
        <w:b/>
        <w:bCs/>
      </w:rPr>
    </w:tblStylePr>
    <w:tblStylePr w:type="band1Vert">
      <w:tblPr>
        <w:tblLayout w:type="fixed"/>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Horz">
      <w:tblPr>
        <w:tblLayout w:type="fixed"/>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1258</Words>
  <Characters>7177</Characters>
  <Lines>59</Lines>
  <Paragraphs>16</Paragraphs>
  <ScaleCrop>false</ScaleCrop>
  <LinksUpToDate>false</LinksUpToDate>
  <CharactersWithSpaces>8419</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2017-02-27T13:41:00Z</dcterms:created>
  <dc:creator>Administrator</dc:creator>
  <cp:lastModifiedBy>Administrator</cp:lastModifiedBy>
  <dcterms:modified xsi:type="dcterms:W3CDTF">2017-02-27T14:01:20Z</dcterms:modified>
  <dc:title>腹腔镜治疗耐克罗米酚多囊卵巢综合症合并不孕症的疗效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