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审稿意见</w:t>
      </w:r>
    </w:p>
    <w:p>
      <w:pPr>
        <w:spacing w:line="360" w:lineRule="auto"/>
        <w:jc w:val="left"/>
        <w:rPr>
          <w:rFonts w:hint="eastAsia" w:asciiTheme="minorEastAsia" w:hAnsiTheme="minorEastAsia" w:cstheme="minorEastAsia"/>
          <w:b/>
          <w:bCs/>
          <w:color w:val="FF0000"/>
          <w:sz w:val="24"/>
        </w:rPr>
      </w:pPr>
    </w:p>
    <w:p>
      <w:pPr>
        <w:spacing w:line="360" w:lineRule="auto"/>
        <w:jc w:val="lef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有些内容需要补充完善。</w:t>
      </w:r>
    </w:p>
    <w:p>
      <w:pPr>
        <w:spacing w:line="360" w:lineRule="auto"/>
        <w:jc w:val="lef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1. 作者回顾分析了52例ARDS患者，但是对于患者的基线资料没有做出说明，特别是ARDS的主要病因、合并症、并发的功能受损的脏器及受损的程度等等。这些均是严重影响预后的重要因素，仅仅只有APACH评分有欠缺！</w:t>
      </w:r>
    </w:p>
    <w:p>
      <w:pPr>
        <w:spacing w:line="360" w:lineRule="auto"/>
        <w:jc w:val="left"/>
        <w:rPr>
          <w:rFonts w:hint="eastAsia" w:asciiTheme="minorEastAsia" w:hAnsiTheme="minorEastAsia" w:cstheme="minorEastAsia"/>
          <w:b/>
          <w:bCs/>
          <w:color w:val="0000FF"/>
          <w:sz w:val="24"/>
          <w:highlight w:val="green"/>
        </w:rPr>
      </w:pPr>
      <w:r>
        <w:rPr>
          <w:rFonts w:hint="eastAsia" w:asciiTheme="minorEastAsia" w:hAnsiTheme="minorEastAsia" w:cstheme="minorEastAsia"/>
          <w:b/>
          <w:bCs/>
          <w:color w:val="FF0000"/>
          <w:sz w:val="24"/>
        </w:rPr>
        <w:t>2. 作者的观察指标均在ARDS发病1-3天内，分组是按照生存组与死亡组进行分别观察，其生存与死亡是以多长时间为界限，1周/1个月/1年？还是住院期间？有关预后的其他指标如何，如住院时间、呼吸机辅助通气时间等？</w:t>
      </w:r>
      <w:r>
        <w:rPr>
          <w:rFonts w:hint="eastAsia" w:asciiTheme="minorEastAsia" w:hAnsiTheme="minorEastAsia" w:cstheme="minorEastAsia"/>
          <w:b/>
          <w:bCs/>
          <w:color w:val="0000FF"/>
          <w:sz w:val="24"/>
          <w:lang w:val="en-US" w:eastAsia="zh-CN"/>
        </w:rPr>
        <w:t>(</w:t>
      </w:r>
      <w:r>
        <w:rPr>
          <w:rFonts w:hint="eastAsia" w:asciiTheme="minorEastAsia" w:hAnsiTheme="minorEastAsia" w:cstheme="minorEastAsia"/>
          <w:b/>
          <w:bCs/>
          <w:color w:val="0000FF"/>
          <w:sz w:val="24"/>
          <w:highlight w:val="green"/>
          <w:lang w:val="en-US" w:eastAsia="zh-CN"/>
        </w:rPr>
        <w:t>本次研究是回顾性分析，存活组和死亡组的分组可直接根据临床资料显示患者是否存活进行。本研究主要是通过对比存活组与死亡组患者的氧合指数与EVLWI的动态变化，来分析各指标对患者预后是否存在判断价值，认为无需对比住院时间与呼吸机辅助通气时间）此处已经交代了关于生存组与死亡组的分组问题，也交代了为什么没有进行住院时间和辅助通气时间的对比。</w:t>
      </w:r>
    </w:p>
    <w:p>
      <w:pPr>
        <w:spacing w:line="360" w:lineRule="auto"/>
        <w:jc w:val="lef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3. 在“资料与方法中的方法2”，作者应用的PiCCO监测仪请注明生产厂家及品牌；</w:t>
      </w:r>
    </w:p>
    <w:p>
      <w:pPr>
        <w:spacing w:line="360" w:lineRule="auto"/>
        <w:jc w:val="left"/>
        <w:rPr>
          <w:rFonts w:hint="eastAsia" w:asciiTheme="minorEastAsia" w:hAnsiTheme="minorEastAsia" w:cstheme="minorEastAsia"/>
          <w:b/>
          <w:bCs/>
          <w:color w:val="0000FF"/>
          <w:sz w:val="24"/>
          <w:highlight w:val="green"/>
        </w:rPr>
      </w:pPr>
      <w:r>
        <w:rPr>
          <w:rFonts w:hint="eastAsia" w:asciiTheme="minorEastAsia" w:hAnsiTheme="minorEastAsia" w:cstheme="minorEastAsia"/>
          <w:b/>
          <w:bCs/>
          <w:color w:val="FF0000"/>
          <w:sz w:val="24"/>
        </w:rPr>
        <w:t>4. 应用PiCCO 监测仪单纯观察EVLWI评估ARDS预后有缺陷，联合测量“pulmonary vascular permeability index (PVPI)”更有价值，PiCCO2多可以同时测量，作者为什么没有测量该参数？</w:t>
      </w:r>
      <w:r>
        <w:rPr>
          <w:rFonts w:hint="eastAsia" w:asciiTheme="minorEastAsia" w:hAnsiTheme="minorEastAsia" w:cstheme="minorEastAsia"/>
          <w:b/>
          <w:bCs/>
          <w:color w:val="0000FF"/>
          <w:sz w:val="24"/>
          <w:highlight w:val="green"/>
          <w:lang w:eastAsia="zh-CN"/>
        </w:rPr>
        <w:t>（已经在文中补充）</w:t>
      </w:r>
    </w:p>
    <w:p>
      <w:pPr>
        <w:spacing w:line="360" w:lineRule="auto"/>
        <w:jc w:val="left"/>
        <w:rPr>
          <w:rFonts w:hint="eastAsia" w:asciiTheme="minorEastAsia" w:hAnsiTheme="minorEastAsia" w:cstheme="minorEastAsia"/>
          <w:b/>
          <w:bCs/>
          <w:color w:val="FF0000"/>
          <w:sz w:val="24"/>
        </w:rPr>
      </w:pPr>
      <w:r>
        <w:rPr>
          <w:rFonts w:hint="eastAsia" w:asciiTheme="minorEastAsia" w:hAnsiTheme="minorEastAsia" w:cstheme="minorEastAsia"/>
          <w:b/>
          <w:bCs/>
          <w:color w:val="FF0000"/>
          <w:sz w:val="24"/>
        </w:rPr>
        <w:t>5. 讨论部分有多个错别字，请仔细修改！</w:t>
      </w:r>
    </w:p>
    <w:p>
      <w:pPr>
        <w:spacing w:line="360" w:lineRule="auto"/>
        <w:jc w:val="center"/>
        <w:rPr>
          <w:rFonts w:hint="eastAsia" w:asciiTheme="minorEastAsia" w:hAnsiTheme="minorEastAsia" w:cstheme="minorEastAsia"/>
          <w:b/>
          <w:bCs/>
          <w:sz w:val="24"/>
        </w:rPr>
      </w:pPr>
    </w:p>
    <w:p>
      <w:pPr>
        <w:spacing w:line="360" w:lineRule="auto"/>
        <w:jc w:val="center"/>
        <w:rPr>
          <w:rFonts w:asciiTheme="minorEastAsia" w:hAnsiTheme="minorEastAsia" w:cstheme="minorEastAsia"/>
          <w:b/>
          <w:bCs/>
          <w:sz w:val="24"/>
        </w:rPr>
      </w:pPr>
      <w:r>
        <w:rPr>
          <w:rFonts w:hint="eastAsia" w:asciiTheme="minorEastAsia" w:hAnsiTheme="minorEastAsia" w:cstheme="minorEastAsia"/>
          <w:b/>
          <w:bCs/>
          <w:sz w:val="24"/>
        </w:rPr>
        <w:t>氧合指数与EVLWI的动态变化对急性呼吸窘迫综合征预后判断价值分析</w:t>
      </w:r>
    </w:p>
    <w:p>
      <w:pPr>
        <w:spacing w:line="360" w:lineRule="auto"/>
        <w:jc w:val="center"/>
        <w:rPr>
          <w:rFonts w:asciiTheme="minorEastAsia" w:hAnsiTheme="minorEastAsia" w:cstheme="minorEastAsia"/>
          <w:b/>
          <w:bCs/>
          <w:sz w:val="24"/>
        </w:rPr>
      </w:pPr>
    </w:p>
    <w:p>
      <w:pPr>
        <w:spacing w:line="360" w:lineRule="auto"/>
        <w:jc w:val="left"/>
        <w:rPr>
          <w:rFonts w:ascii="ˎ̥" w:hAnsi="ˎ̥"/>
          <w:kern w:val="0"/>
        </w:rPr>
      </w:pPr>
    </w:p>
    <w:p>
      <w:pPr>
        <w:spacing w:line="360" w:lineRule="auto"/>
        <w:rPr>
          <w:rFonts w:asciiTheme="minorEastAsia" w:hAnsiTheme="minorEastAsia" w:cstheme="minorEastAsia"/>
          <w:sz w:val="24"/>
        </w:rPr>
      </w:pPr>
      <w:r>
        <w:rPr>
          <w:rFonts w:hint="eastAsia" w:asciiTheme="minorEastAsia" w:hAnsiTheme="minorEastAsia" w:cstheme="minorEastAsia"/>
          <w:b/>
          <w:bCs/>
          <w:sz w:val="24"/>
        </w:rPr>
        <w:t xml:space="preserve">【摘要】目的 </w:t>
      </w:r>
      <w:r>
        <w:rPr>
          <w:rFonts w:hint="eastAsia" w:asciiTheme="minorEastAsia" w:hAnsiTheme="minorEastAsia" w:cstheme="minorEastAsia"/>
          <w:sz w:val="24"/>
        </w:rPr>
        <w:t>探讨氧合指数等相关指标及血管外肺水指数（EVLWI）对急性呼吸窘迫综合征患者（ARDS）预后判断价值。</w:t>
      </w:r>
      <w:r>
        <w:rPr>
          <w:rFonts w:hint="eastAsia" w:asciiTheme="minorEastAsia" w:hAnsiTheme="minorEastAsia" w:cstheme="minorEastAsia"/>
          <w:b/>
          <w:bCs/>
          <w:sz w:val="24"/>
        </w:rPr>
        <w:t>方法</w:t>
      </w:r>
      <w:r>
        <w:rPr>
          <w:rFonts w:hint="eastAsia" w:asciiTheme="minorEastAsia" w:hAnsiTheme="minorEastAsia" w:cstheme="minorEastAsia"/>
          <w:sz w:val="24"/>
        </w:rPr>
        <w:t xml:space="preserve"> 回顾性分析我院2014年3月至2015年9月入住重症监护室（ICU）的52例ARDS患者的临床资料，根据患者预后分为存活组与死亡组，分析两组患者在入住ICU病房后心脏指数（CI）、平均动脉压（MAP）、中心静脉压（CVPP）、血管外肺水指数（EVLWI）</w:t>
      </w:r>
      <w:r>
        <w:rPr>
          <w:rFonts w:hint="eastAsia" w:asciiTheme="minorEastAsia" w:hAnsiTheme="minorEastAsia" w:cstheme="minorEastAsia"/>
          <w:sz w:val="24"/>
          <w:lang w:eastAsia="zh-CN"/>
        </w:rPr>
        <w:t>、</w:t>
      </w:r>
      <w:r>
        <w:rPr>
          <w:rFonts w:hint="eastAsia" w:asciiTheme="minorEastAsia" w:hAnsiTheme="minorEastAsia" w:cstheme="minorEastAsia"/>
          <w:color w:val="FF0000"/>
          <w:sz w:val="24"/>
          <w:lang w:eastAsia="zh-CN"/>
        </w:rPr>
        <w:t>肺血管通透性指数（</w:t>
      </w:r>
      <w:r>
        <w:rPr>
          <w:rFonts w:hint="eastAsia" w:asciiTheme="minorEastAsia" w:hAnsiTheme="minorEastAsia" w:cstheme="minorEastAsia"/>
          <w:color w:val="FF0000"/>
          <w:sz w:val="24"/>
          <w:lang w:val="en-US" w:eastAsia="zh-CN"/>
        </w:rPr>
        <w:t>PVPI）</w:t>
      </w:r>
      <w:r>
        <w:rPr>
          <w:rFonts w:hint="eastAsia" w:asciiTheme="minorEastAsia" w:hAnsiTheme="minorEastAsia" w:cstheme="minorEastAsia"/>
          <w:sz w:val="24"/>
        </w:rPr>
        <w:t>及氧合指数的变化。</w:t>
      </w:r>
      <w:r>
        <w:rPr>
          <w:rFonts w:hint="eastAsia" w:asciiTheme="minorEastAsia" w:hAnsiTheme="minorEastAsia" w:cstheme="minorEastAsia"/>
          <w:b/>
          <w:bCs/>
          <w:sz w:val="24"/>
        </w:rPr>
        <w:t>结果</w:t>
      </w:r>
      <w:r>
        <w:rPr>
          <w:rFonts w:hint="eastAsia" w:asciiTheme="minorEastAsia" w:hAnsiTheme="minorEastAsia" w:cstheme="minorEastAsia"/>
          <w:sz w:val="24"/>
        </w:rPr>
        <w:t xml:space="preserve"> 与存活组对比，死亡组患者在入住ICU病房时的APACHEⅡ评分显著升高（P&lt;0.05）；存活组氧合指数随时间呈上升的趋势，EVLWI</w:t>
      </w:r>
      <w:r>
        <w:rPr>
          <w:rFonts w:hint="eastAsia" w:asciiTheme="minorEastAsia" w:hAnsiTheme="minorEastAsia" w:cstheme="minorEastAsia"/>
          <w:sz w:val="24"/>
          <w:lang w:eastAsia="zh-CN"/>
        </w:rPr>
        <w:t>、</w:t>
      </w:r>
      <w:r>
        <w:rPr>
          <w:rFonts w:hint="eastAsia" w:asciiTheme="minorEastAsia" w:hAnsiTheme="minorEastAsia" w:cstheme="minorEastAsia"/>
          <w:sz w:val="24"/>
          <w:lang w:val="en-US" w:eastAsia="zh-CN"/>
        </w:rPr>
        <w:t>PVPI</w:t>
      </w:r>
      <w:r>
        <w:rPr>
          <w:rFonts w:hint="eastAsia" w:asciiTheme="minorEastAsia" w:hAnsiTheme="minorEastAsia" w:cstheme="minorEastAsia"/>
          <w:sz w:val="24"/>
        </w:rPr>
        <w:t>随时间呈下降趋势（P&lt;0.05），死亡组氧合指数随时间呈下降的趋势，EVLWI</w:t>
      </w:r>
      <w:r>
        <w:rPr>
          <w:rFonts w:hint="eastAsia" w:asciiTheme="minorEastAsia" w:hAnsiTheme="minorEastAsia" w:cstheme="minorEastAsia"/>
          <w:sz w:val="24"/>
          <w:lang w:eastAsia="zh-CN"/>
        </w:rPr>
        <w:t>、</w:t>
      </w:r>
      <w:r>
        <w:rPr>
          <w:rFonts w:hint="eastAsia" w:asciiTheme="minorEastAsia" w:hAnsiTheme="minorEastAsia" w:cstheme="minorEastAsia"/>
          <w:sz w:val="24"/>
        </w:rPr>
        <w:t>CI</w:t>
      </w:r>
      <w:r>
        <w:rPr>
          <w:rFonts w:hint="eastAsia" w:asciiTheme="minorEastAsia" w:hAnsiTheme="minorEastAsia" w:cstheme="minorEastAsia"/>
          <w:sz w:val="24"/>
          <w:lang w:eastAsia="zh-CN"/>
        </w:rPr>
        <w:t>及</w:t>
      </w:r>
      <w:r>
        <w:rPr>
          <w:rFonts w:hint="eastAsia" w:asciiTheme="minorEastAsia" w:hAnsiTheme="minorEastAsia" w:cstheme="minorEastAsia"/>
          <w:sz w:val="24"/>
          <w:lang w:val="en-US" w:eastAsia="zh-CN"/>
        </w:rPr>
        <w:t>PVPI</w:t>
      </w:r>
      <w:r>
        <w:rPr>
          <w:rFonts w:hint="eastAsia" w:asciiTheme="minorEastAsia" w:hAnsiTheme="minorEastAsia" w:cstheme="minorEastAsia"/>
          <w:sz w:val="24"/>
        </w:rPr>
        <w:t>随时间呈上升的趋势（P&lt;0.05），与死亡组第2d、3d对比，存活组第2d、3d的CI、EVLWI显著降低，氧合指数显著升高（P&lt;0.05）； 经Person相关性分析显示，EVLWI与氧合指数存在显著负相关关系，与CVP无相关性。</w:t>
      </w:r>
      <w:r>
        <w:rPr>
          <w:rFonts w:hint="eastAsia" w:asciiTheme="minorEastAsia" w:hAnsiTheme="minorEastAsia" w:cstheme="minorEastAsia"/>
          <w:b/>
          <w:bCs/>
          <w:sz w:val="24"/>
        </w:rPr>
        <w:t>结论</w:t>
      </w:r>
      <w:r>
        <w:rPr>
          <w:rFonts w:hint="eastAsia" w:asciiTheme="minorEastAsia" w:hAnsiTheme="minorEastAsia" w:cstheme="minorEastAsia"/>
          <w:sz w:val="24"/>
        </w:rPr>
        <w:t xml:space="preserve"> 动态监测EVLWI及氧合指数对判断ARDS患者的病情及预后具有重要临床价值。</w:t>
      </w:r>
    </w:p>
    <w:p>
      <w:pPr>
        <w:spacing w:line="360" w:lineRule="auto"/>
        <w:rPr>
          <w:rFonts w:asciiTheme="minorEastAsia" w:hAnsiTheme="minorEastAsia" w:cstheme="minorEastAsia"/>
          <w:sz w:val="24"/>
        </w:rPr>
      </w:pPr>
      <w:r>
        <w:rPr>
          <w:rFonts w:hint="eastAsia" w:asciiTheme="minorEastAsia" w:hAnsiTheme="minorEastAsia" w:cstheme="minorEastAsia"/>
          <w:b/>
          <w:bCs/>
          <w:sz w:val="24"/>
        </w:rPr>
        <w:t>【关键词】</w:t>
      </w:r>
      <w:r>
        <w:rPr>
          <w:rFonts w:hint="eastAsia" w:asciiTheme="minorEastAsia" w:hAnsiTheme="minorEastAsia" w:cstheme="minorEastAsia"/>
          <w:sz w:val="24"/>
        </w:rPr>
        <w:t>氧合指数；血管外肺水指数；急性呼吸窘迫综合征；预后</w:t>
      </w:r>
    </w:p>
    <w:p>
      <w:pPr>
        <w:spacing w:line="360" w:lineRule="auto"/>
        <w:jc w:val="center"/>
        <w:rPr>
          <w:rFonts w:asciiTheme="minorEastAsia" w:hAnsiTheme="minorEastAsia" w:cstheme="minorEastAsia"/>
          <w:b/>
          <w:bCs/>
          <w:sz w:val="24"/>
        </w:rPr>
      </w:pPr>
      <w:r>
        <w:rPr>
          <w:rFonts w:hint="eastAsia" w:asciiTheme="minorEastAsia" w:hAnsiTheme="minorEastAsia" w:cstheme="minorEastAsia"/>
          <w:b/>
          <w:bCs/>
          <w:sz w:val="24"/>
        </w:rPr>
        <w:t>Analysis of the value of the dynamic changes of oxygenation index and EVLWI in the prognosis of acute respiratory distress syndrome</w:t>
      </w:r>
    </w:p>
    <w:p>
      <w:pPr>
        <w:spacing w:line="360" w:lineRule="auto"/>
        <w:jc w:val="center"/>
        <w:rPr>
          <w:rFonts w:asciiTheme="minorEastAsia" w:hAnsiTheme="minorEastAsia" w:cstheme="minorEastAsia"/>
          <w:b/>
          <w:bCs/>
          <w:sz w:val="24"/>
        </w:rPr>
      </w:pPr>
    </w:p>
    <w:p>
      <w:pPr>
        <w:spacing w:line="360" w:lineRule="auto"/>
        <w:jc w:val="left"/>
        <w:rPr>
          <w:rFonts w:asciiTheme="minorEastAsia" w:hAnsiTheme="minorEastAsia" w:cstheme="minorEastAsia"/>
          <w:bCs/>
          <w:sz w:val="24"/>
        </w:rPr>
      </w:pPr>
    </w:p>
    <w:p>
      <w:pPr>
        <w:spacing w:line="360" w:lineRule="auto"/>
        <w:rPr>
          <w:rFonts w:asciiTheme="minorEastAsia" w:hAnsiTheme="minorEastAsia" w:cstheme="minorEastAsia"/>
          <w:sz w:val="24"/>
        </w:rPr>
      </w:pPr>
      <w:r>
        <w:rPr>
          <w:rFonts w:hint="eastAsia" w:asciiTheme="minorEastAsia" w:hAnsiTheme="minorEastAsia" w:cstheme="minorEastAsia"/>
          <w:b/>
          <w:bCs/>
          <w:sz w:val="24"/>
        </w:rPr>
        <w:t xml:space="preserve">[Abstract]Objective </w:t>
      </w:r>
      <w:r>
        <w:rPr>
          <w:rFonts w:hint="eastAsia" w:asciiTheme="minorEastAsia" w:hAnsiTheme="minorEastAsia" w:cstheme="minorEastAsia"/>
          <w:sz w:val="24"/>
        </w:rPr>
        <w:t>The prognostic value of oxygenation index and pulmonary water index (EVLWI) in patients with acute respiratory distress syndrome (ARDS) was discussed.</w:t>
      </w:r>
      <w:r>
        <w:rPr>
          <w:rFonts w:hint="eastAsia" w:asciiTheme="minorEastAsia" w:hAnsiTheme="minorEastAsia" w:cstheme="minorEastAsia"/>
          <w:b/>
          <w:bCs/>
          <w:sz w:val="24"/>
        </w:rPr>
        <w:t>Methods</w:t>
      </w:r>
      <w:r>
        <w:rPr>
          <w:rFonts w:hint="eastAsia" w:asciiTheme="minorEastAsia" w:hAnsiTheme="minorEastAsia" w:cstheme="minorEastAsia"/>
          <w:sz w:val="24"/>
        </w:rPr>
        <w:t xml:space="preserve"> The clinical data of 52 cases of acute respiratory distress syndrome (ARDS) retrospective analysis of our hospital in 2014 March to September 2015 months admitted to the intensive care unit (ICU) were, according to the prognosis of the patients divided into survival group and death group, analysis of two groups of patients in ICU after cardiac index (CI), mean arterial pressure (map), central venous pressure (CVPP) and extravascular lung water index (EVLWI) and pulmonary vascular permeability index (PVpi) and oxygenation index changes.</w:t>
      </w:r>
      <w:r>
        <w:rPr>
          <w:rFonts w:hint="eastAsia" w:asciiTheme="minorEastAsia" w:hAnsiTheme="minorEastAsia" w:cstheme="minorEastAsia"/>
          <w:b/>
          <w:bCs/>
          <w:sz w:val="24"/>
        </w:rPr>
        <w:t>Results</w:t>
      </w:r>
      <w:r>
        <w:rPr>
          <w:rFonts w:hint="eastAsia" w:asciiTheme="minorEastAsia" w:hAnsiTheme="minorEastAsia" w:cstheme="minorEastAsia"/>
          <w:sz w:val="24"/>
        </w:rPr>
        <w:t xml:space="preserve"> And survival comparison group and death group patients in the ICU of APACHE II score increased significantly (P &lt; 0.05); survival group oxygen index showed a rising trend over time, EVLWI and PVpi with time was decreased (P &lt; 0.05), the death group oxygen index showed a downward trend with time, EVLWI and PVpi and CI with the time showed a rising trend (P &lt; 0.05), and death group, 2D, 3D contrast, survival group, 2D, 3D Ci, EVLWI decreased significantly, oxygenation index increased significantly (P &lt; 0.05). After Pearson correlation The analysis showed that there was a significant negative correlation between EVLWI and oxygenation index, and there was no correlation between CVP and oxygenation index.</w:t>
      </w:r>
      <w:r>
        <w:rPr>
          <w:rFonts w:hint="eastAsia" w:asciiTheme="minorEastAsia" w:hAnsiTheme="minorEastAsia" w:cstheme="minorEastAsia"/>
          <w:b/>
          <w:bCs/>
          <w:sz w:val="24"/>
        </w:rPr>
        <w:t>Conclusion</w:t>
      </w:r>
      <w:r>
        <w:rPr>
          <w:rFonts w:hint="eastAsia" w:asciiTheme="minorEastAsia" w:hAnsiTheme="minorEastAsia" w:cstheme="minorEastAsia"/>
          <w:sz w:val="24"/>
        </w:rPr>
        <w:t xml:space="preserve"> Dynamic monitoring of EVLWI and oxygenation index has important clinical value in judging the condition and prognosis of ARDS patients.</w:t>
      </w:r>
      <w:r>
        <w:rPr>
          <w:rFonts w:hint="eastAsia" w:asciiTheme="minorEastAsia" w:hAnsiTheme="minorEastAsia" w:cstheme="minorEastAsia"/>
          <w:b/>
          <w:bCs/>
          <w:sz w:val="24"/>
        </w:rPr>
        <w:t>[Key words]</w:t>
      </w:r>
      <w:r>
        <w:rPr>
          <w:rFonts w:hint="eastAsia" w:asciiTheme="minorEastAsia" w:hAnsiTheme="minorEastAsia" w:cstheme="minorEastAsia"/>
          <w:sz w:val="24"/>
        </w:rPr>
        <w:t xml:space="preserve">Oxygenation index;External lung water index;Acute respiratory distress syndrome;Prognosis </w:t>
      </w:r>
    </w:p>
    <w:p>
      <w:pPr>
        <w:spacing w:line="360" w:lineRule="auto"/>
        <w:rPr>
          <w:rFonts w:asciiTheme="minorEastAsia" w:hAnsiTheme="minorEastAsia" w:cstheme="minorEastAsia"/>
          <w:sz w:val="24"/>
        </w:rPr>
      </w:pPr>
      <w:r>
        <w:rPr>
          <w:rFonts w:hint="eastAsia" w:asciiTheme="minorEastAsia" w:hAnsiTheme="minorEastAsia" w:cstheme="minorEastAsia"/>
          <w:sz w:val="24"/>
        </w:rPr>
        <w:t xml:space="preserve">    急性呼吸窘迫综合征（acute respiratory distress syndrome，ARDS）在临床上具有较高的发病率及病死率</w:t>
      </w:r>
      <w:r>
        <w:rPr>
          <w:rFonts w:hint="eastAsia" w:asciiTheme="minorEastAsia" w:hAnsiTheme="minorEastAsia" w:cstheme="minorEastAsia"/>
          <w:sz w:val="24"/>
          <w:vertAlign w:val="superscript"/>
        </w:rPr>
        <w:t>[1]</w:t>
      </w:r>
      <w:r>
        <w:rPr>
          <w:rFonts w:hint="eastAsia" w:asciiTheme="minorEastAsia" w:hAnsiTheme="minorEastAsia" w:cstheme="minorEastAsia"/>
          <w:sz w:val="24"/>
        </w:rPr>
        <w:t>。ARDS患者病情较为危重，在发病早期不具备特异性的临床表现，病情发展迅速，病情晚期治疗效果较差，因此早期诊断与治疗是治疗ARDS患者的关键</w:t>
      </w:r>
      <w:r>
        <w:rPr>
          <w:rFonts w:hint="eastAsia" w:asciiTheme="minorEastAsia" w:hAnsiTheme="minorEastAsia" w:cstheme="minorEastAsia"/>
          <w:sz w:val="24"/>
          <w:vertAlign w:val="superscript"/>
        </w:rPr>
        <w:t>[2]</w:t>
      </w:r>
      <w:r>
        <w:rPr>
          <w:rFonts w:hint="eastAsia" w:asciiTheme="minorEastAsia" w:hAnsiTheme="minorEastAsia" w:cstheme="minorEastAsia"/>
          <w:sz w:val="24"/>
        </w:rPr>
        <w:t>。目前临床上多采用急性生理学及慢性健康状况评分Ⅱ（acute physiology and chronic health evaluation，APACHEⅡ）常用于危重症严重程度的评估，</w:t>
      </w:r>
      <w:r>
        <w:rPr>
          <w:rFonts w:hint="eastAsia" w:asciiTheme="minorEastAsia" w:hAnsiTheme="minorEastAsia" w:cstheme="minorEastAsia"/>
          <w:color w:val="0000FF"/>
          <w:sz w:val="24"/>
          <w:highlight w:val="green"/>
        </w:rPr>
        <w:t>但其对ARDS患</w:t>
      </w:r>
      <w:r>
        <w:rPr>
          <w:rFonts w:hint="eastAsia" w:asciiTheme="minorEastAsia" w:hAnsiTheme="minorEastAsia" w:cstheme="minorEastAsia"/>
          <w:sz w:val="24"/>
        </w:rPr>
        <w:t>者预后的评估方面的特异性较差</w:t>
      </w:r>
      <w:r>
        <w:rPr>
          <w:rFonts w:hint="eastAsia" w:asciiTheme="minorEastAsia" w:hAnsiTheme="minorEastAsia" w:cstheme="minorEastAsia"/>
          <w:sz w:val="24"/>
          <w:vertAlign w:val="superscript"/>
        </w:rPr>
        <w:t>[3]</w:t>
      </w:r>
      <w:r>
        <w:rPr>
          <w:rFonts w:hint="eastAsia" w:asciiTheme="minorEastAsia" w:hAnsiTheme="minorEastAsia" w:cstheme="minorEastAsia"/>
          <w:sz w:val="24"/>
        </w:rPr>
        <w:t>。近年来，较多研究显示，脉搏指示连续心排血量（pulse indicated continuous cardiac output，PiCCO）监测可对休克患者的预后进行评估</w:t>
      </w:r>
      <w:r>
        <w:rPr>
          <w:rFonts w:hint="eastAsia" w:asciiTheme="minorEastAsia" w:hAnsiTheme="minorEastAsia" w:cstheme="minorEastAsia"/>
          <w:sz w:val="24"/>
          <w:vertAlign w:val="superscript"/>
        </w:rPr>
        <w:t>[4]</w:t>
      </w:r>
      <w:r>
        <w:rPr>
          <w:rFonts w:hint="eastAsia" w:asciiTheme="minorEastAsia" w:hAnsiTheme="minorEastAsia" w:cstheme="minorEastAsia"/>
          <w:sz w:val="24"/>
        </w:rPr>
        <w:t>。本次研究旨在通过PiCCO动态监测ARDS患者的心脏指数（cardiacindex，CI）、平均动脉压（mean arterial pressure ，MAP）、中心静脉压（central venous pressure ，CVP）、血管外肺水指数（extravascular lung water index ，EVLWI）</w:t>
      </w:r>
      <w:r>
        <w:rPr>
          <w:rFonts w:hint="eastAsia" w:asciiTheme="minorEastAsia" w:hAnsiTheme="minorEastAsia" w:cstheme="minorEastAsia"/>
          <w:sz w:val="24"/>
          <w:lang w:eastAsia="zh-CN"/>
        </w:rPr>
        <w:t>、</w:t>
      </w:r>
      <w:r>
        <w:rPr>
          <w:rFonts w:hint="eastAsia" w:asciiTheme="minorEastAsia" w:hAnsiTheme="minorEastAsia" w:cstheme="minorEastAsia"/>
          <w:color w:val="FF0000"/>
          <w:sz w:val="24"/>
          <w:lang w:eastAsia="zh-CN"/>
        </w:rPr>
        <w:t>肺血管通透性指数（pulmonary vascular permeability index ，PVPI）</w:t>
      </w:r>
      <w:r>
        <w:rPr>
          <w:rFonts w:hint="eastAsia" w:asciiTheme="minorEastAsia" w:hAnsiTheme="minorEastAsia" w:cstheme="minorEastAsia"/>
          <w:sz w:val="24"/>
        </w:rPr>
        <w:t>及氧合指数，分析氧和指数与EVLWI判断ARDS患者预后的临床价值。</w:t>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1 资料与方法</w:t>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1.1 临床资料</w:t>
      </w:r>
    </w:p>
    <w:p>
      <w:pPr>
        <w:spacing w:line="360" w:lineRule="auto"/>
        <w:ind w:firstLine="481"/>
        <w:rPr>
          <w:rFonts w:hint="eastAsia" w:asciiTheme="minorEastAsia" w:hAnsiTheme="minorEastAsia" w:cstheme="minorEastAsia"/>
          <w:sz w:val="24"/>
        </w:rPr>
      </w:pPr>
      <w:r>
        <w:rPr>
          <w:rFonts w:hint="eastAsia" w:asciiTheme="minorEastAsia" w:hAnsiTheme="minorEastAsia" w:cstheme="minorEastAsia"/>
          <w:sz w:val="24"/>
        </w:rPr>
        <w:t>回顾性分析我院2014年3月至2015年9月入住ICU病房的52例ARDS患者的临床资料。纳入标准：所有入选患者均符合ARDS诊断标准；均应用PiCCO系统监测血液动力学。排除标准：排除伴有严重肝、肾、心功能异常的患者；排除伴有严重</w:t>
      </w:r>
      <w:r>
        <w:rPr>
          <w:rFonts w:hint="eastAsia" w:asciiTheme="minorEastAsia" w:hAnsiTheme="minorEastAsia" w:cstheme="minorEastAsia"/>
          <w:sz w:val="24"/>
          <w:lang w:eastAsia="zh-CN"/>
        </w:rPr>
        <w:t>凝</w:t>
      </w:r>
      <w:r>
        <w:rPr>
          <w:rFonts w:hint="eastAsia" w:asciiTheme="minorEastAsia" w:hAnsiTheme="minorEastAsia" w:cstheme="minorEastAsia"/>
          <w:color w:val="0000FF"/>
          <w:sz w:val="24"/>
          <w:highlight w:val="green"/>
          <w:lang w:eastAsia="zh-CN"/>
        </w:rPr>
        <w:t>血功能障碍及高血压</w:t>
      </w:r>
      <w:r>
        <w:rPr>
          <w:rFonts w:hint="eastAsia" w:asciiTheme="minorEastAsia" w:hAnsiTheme="minorEastAsia" w:cstheme="minorEastAsia"/>
          <w:sz w:val="24"/>
        </w:rPr>
        <w:t>患者；排除伴有神经系统疾病的患者。</w:t>
      </w:r>
      <w:r>
        <w:rPr>
          <w:rFonts w:hint="eastAsia" w:asciiTheme="minorEastAsia" w:hAnsiTheme="minorEastAsia" w:cstheme="minorEastAsia"/>
          <w:color w:val="FF0000"/>
          <w:sz w:val="24"/>
          <w:lang w:eastAsia="zh-CN"/>
        </w:rPr>
        <w:t>原发病包括多发性创伤、肺部感染、重症胰腺炎等，均表现为急性发病过程，呼吸频率明显加快，出现低氧血症、呼吸窘迫等。</w:t>
      </w:r>
      <w:r>
        <w:rPr>
          <w:rFonts w:hint="eastAsia" w:asciiTheme="minorEastAsia" w:hAnsiTheme="minorEastAsia" w:cstheme="minorEastAsia"/>
          <w:color w:val="FF0000"/>
          <w:sz w:val="24"/>
        </w:rPr>
        <w:t>5</w:t>
      </w:r>
      <w:r>
        <w:rPr>
          <w:rFonts w:hint="eastAsia" w:asciiTheme="minorEastAsia" w:hAnsiTheme="minorEastAsia" w:cstheme="minorEastAsia"/>
          <w:sz w:val="24"/>
        </w:rPr>
        <w:t>2例患者中男34例，女18例，年龄26-83岁，平均年龄（53.5±4.7）岁。根据52例患者的预后情况分为存活组（38例）与死亡组（14例）。本次研究均经家属同意及本院伦理委员会批准。</w:t>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1.2 方法</w:t>
      </w:r>
    </w:p>
    <w:p>
      <w:pPr>
        <w:spacing w:line="360" w:lineRule="auto"/>
        <w:rPr>
          <w:rFonts w:asciiTheme="minorEastAsia" w:hAnsiTheme="minorEastAsia" w:cstheme="minorEastAsia"/>
          <w:sz w:val="24"/>
        </w:rPr>
      </w:pPr>
      <w:r>
        <w:rPr>
          <w:rFonts w:hint="eastAsia" w:asciiTheme="minorEastAsia" w:hAnsiTheme="minorEastAsia" w:cstheme="minorEastAsia"/>
          <w:b/>
          <w:bCs/>
          <w:sz w:val="24"/>
        </w:rPr>
        <w:t xml:space="preserve">    </w:t>
      </w:r>
      <w:r>
        <w:rPr>
          <w:rFonts w:hint="eastAsia" w:asciiTheme="minorEastAsia" w:hAnsiTheme="minorEastAsia" w:cstheme="minorEastAsia"/>
          <w:sz w:val="24"/>
        </w:rPr>
        <w:t>两组患者均接受呼吸机治疗，应用容量控制通气模式，吸入氧浓度设定在50%-80%，呼气末正压设定在8-15cmHg。两组患者均经锁骨下或颈内静脉进行穿刺放置深静脉导管对CVP进行检测，PiCCO动脉导管经股动脉放置，使其与PiCCO监测仪</w:t>
      </w:r>
      <w:r>
        <w:rPr>
          <w:rFonts w:hint="eastAsia" w:asciiTheme="minorEastAsia" w:hAnsiTheme="minorEastAsia" w:cstheme="minorEastAsia"/>
          <w:sz w:val="24"/>
          <w:lang w:eastAsia="zh-CN"/>
        </w:rPr>
        <w:t>（</w:t>
      </w:r>
      <w:r>
        <w:rPr>
          <w:rFonts w:hint="eastAsia" w:asciiTheme="minorEastAsia" w:hAnsiTheme="minorEastAsia" w:cstheme="minorEastAsia"/>
          <w:color w:val="FF0000"/>
          <w:sz w:val="24"/>
          <w:lang w:eastAsia="zh-CN"/>
        </w:rPr>
        <w:t>德国PULSION Medical公司</w:t>
      </w:r>
      <w:r>
        <w:rPr>
          <w:rFonts w:hint="eastAsia" w:asciiTheme="minorEastAsia" w:hAnsiTheme="minorEastAsia" w:cstheme="minorEastAsia"/>
          <w:sz w:val="24"/>
          <w:lang w:eastAsia="zh-CN"/>
        </w:rPr>
        <w:t>）</w:t>
      </w:r>
      <w:r>
        <w:rPr>
          <w:rFonts w:hint="eastAsia" w:asciiTheme="minorEastAsia" w:hAnsiTheme="minorEastAsia" w:cstheme="minorEastAsia"/>
          <w:sz w:val="24"/>
        </w:rPr>
        <w:t>连接，检测患者的EVLWI。监测两组患者在入住ICU病房第1d、2d、3d的CI、CVP、MAP、EVLWI及氧合指数水平。</w:t>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1.3 观察指标</w:t>
      </w:r>
    </w:p>
    <w:p>
      <w:pPr>
        <w:spacing w:line="360" w:lineRule="auto"/>
        <w:ind w:firstLine="481"/>
        <w:rPr>
          <w:rFonts w:asciiTheme="minorEastAsia" w:hAnsiTheme="minorEastAsia" w:cstheme="minorEastAsia"/>
          <w:sz w:val="24"/>
        </w:rPr>
      </w:pPr>
      <w:r>
        <w:rPr>
          <w:rFonts w:hint="eastAsia" w:asciiTheme="minorEastAsia" w:hAnsiTheme="minorEastAsia" w:cstheme="minorEastAsia"/>
          <w:sz w:val="24"/>
        </w:rPr>
        <w:t>对比存活组与死亡组两组患者性别、年龄、APACHEⅡ评分、白细胞计数，同时观察两组患者在入住ICU病房第1d、2d、3d的CI、CVP、MAP、EVLWI</w:t>
      </w:r>
      <w:r>
        <w:rPr>
          <w:rFonts w:hint="eastAsia" w:asciiTheme="minorEastAsia" w:hAnsiTheme="minorEastAsia" w:cstheme="minorEastAsia"/>
          <w:sz w:val="24"/>
          <w:lang w:eastAsia="zh-CN"/>
        </w:rPr>
        <w:t>、</w:t>
      </w:r>
      <w:r>
        <w:rPr>
          <w:rFonts w:hint="eastAsia" w:asciiTheme="minorEastAsia" w:hAnsiTheme="minorEastAsia" w:cstheme="minorEastAsia"/>
          <w:color w:val="FF0000"/>
          <w:sz w:val="24"/>
          <w:lang w:val="en-US" w:eastAsia="zh-CN"/>
        </w:rPr>
        <w:t>PVPI</w:t>
      </w:r>
      <w:r>
        <w:rPr>
          <w:rFonts w:hint="eastAsia" w:asciiTheme="minorEastAsia" w:hAnsiTheme="minorEastAsia" w:cstheme="minorEastAsia"/>
          <w:sz w:val="24"/>
        </w:rPr>
        <w:t>及氧合指数水平变化，并分析EVLWI与氧合指数及CVP的相关性。</w:t>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1.4 统计学分析</w:t>
      </w:r>
    </w:p>
    <w:p>
      <w:pPr>
        <w:spacing w:line="360" w:lineRule="auto"/>
        <w:ind w:firstLine="481"/>
        <w:rPr>
          <w:rFonts w:asciiTheme="minorEastAsia" w:hAnsiTheme="minorEastAsia" w:cstheme="minorEastAsia"/>
          <w:sz w:val="24"/>
        </w:rPr>
      </w:pPr>
      <w:r>
        <w:rPr>
          <w:rFonts w:hint="eastAsia" w:asciiTheme="minorEastAsia" w:hAnsiTheme="minorEastAsia" w:cstheme="minorEastAsia"/>
          <w:sz w:val="24"/>
        </w:rPr>
        <w:t>采用SPSS20.0统计学软件进行数据处理，计量资料均以均值±标准差（±s），经t检验分析，计数资料以率的形式表示，经x2检验分析，采用Person相关性分析EVLWI与氧合指数及CVP的相关性，以P&lt;0.05时表明差异有统计学意义。</w:t>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2 结果</w:t>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2.1 存活组与死亡组患者入住ICU病房的临床资料分析</w:t>
      </w:r>
    </w:p>
    <w:p>
      <w:pPr>
        <w:spacing w:line="360" w:lineRule="auto"/>
        <w:rPr>
          <w:rFonts w:asciiTheme="minorEastAsia" w:hAnsiTheme="minorEastAsia" w:cstheme="minorEastAsia"/>
          <w:sz w:val="24"/>
        </w:rPr>
      </w:pPr>
      <w:r>
        <w:rPr>
          <w:rFonts w:hint="eastAsia" w:asciiTheme="minorEastAsia" w:hAnsiTheme="minorEastAsia" w:cstheme="minorEastAsia"/>
          <w:sz w:val="24"/>
        </w:rPr>
        <w:t xml:space="preserve">    </w:t>
      </w:r>
      <w:r>
        <w:rPr>
          <w:rFonts w:hint="eastAsia" w:asciiTheme="minorEastAsia" w:hAnsiTheme="minorEastAsia" w:cstheme="minorEastAsia"/>
          <w:color w:val="0000FF"/>
          <w:sz w:val="24"/>
          <w:highlight w:val="green"/>
        </w:rPr>
        <w:t>两组患者的性别、年龄</w:t>
      </w:r>
      <w:r>
        <w:rPr>
          <w:rFonts w:hint="eastAsia" w:asciiTheme="minorEastAsia" w:hAnsiTheme="minorEastAsia" w:cstheme="minorEastAsia"/>
          <w:color w:val="0000FF"/>
          <w:sz w:val="24"/>
          <w:highlight w:val="green"/>
          <w:lang w:eastAsia="zh-CN"/>
        </w:rPr>
        <w:t>、</w:t>
      </w:r>
      <w:r>
        <w:rPr>
          <w:rFonts w:hint="eastAsia" w:asciiTheme="minorEastAsia" w:hAnsiTheme="minorEastAsia" w:cstheme="minorEastAsia"/>
          <w:color w:val="0000FF"/>
          <w:sz w:val="24"/>
          <w:highlight w:val="green"/>
        </w:rPr>
        <w:t>白细胞计数</w:t>
      </w:r>
      <w:r>
        <w:rPr>
          <w:rFonts w:hint="eastAsia" w:asciiTheme="minorEastAsia" w:hAnsiTheme="minorEastAsia" w:cstheme="minorEastAsia"/>
          <w:color w:val="0000FF"/>
          <w:sz w:val="24"/>
          <w:highlight w:val="green"/>
          <w:lang w:eastAsia="zh-CN"/>
        </w:rPr>
        <w:t>及原发病构成</w:t>
      </w:r>
      <w:r>
        <w:rPr>
          <w:rFonts w:hint="eastAsia" w:asciiTheme="minorEastAsia" w:hAnsiTheme="minorEastAsia" w:cstheme="minorEastAsia"/>
          <w:color w:val="0000FF"/>
          <w:sz w:val="24"/>
          <w:highlight w:val="green"/>
        </w:rPr>
        <w:t>对比，</w:t>
      </w:r>
      <w:r>
        <w:rPr>
          <w:rFonts w:hint="eastAsia" w:asciiTheme="minorEastAsia" w:hAnsiTheme="minorEastAsia" w:cstheme="minorEastAsia"/>
          <w:sz w:val="24"/>
        </w:rPr>
        <w:t>差异无统计学意义（P&gt;0.05），与存活组对比，死亡组患者在入住ICU病房时的APACHEⅡ评分显著升高，差异有统计学意义（P&lt;0.05）。</w:t>
      </w:r>
    </w:p>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表1 存活组与死亡组患者入住ICU病房的临床资料分析</w:t>
      </w:r>
    </w:p>
    <w:tbl>
      <w:tblPr>
        <w:tblStyle w:val="7"/>
        <w:tblW w:w="11580" w:type="dxa"/>
        <w:tblInd w:w="-162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720"/>
        <w:gridCol w:w="1245"/>
        <w:gridCol w:w="1425"/>
        <w:gridCol w:w="1590"/>
        <w:gridCol w:w="1515"/>
        <w:gridCol w:w="1395"/>
        <w:gridCol w:w="1365"/>
        <w:gridCol w:w="1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atLeast"/>
        </w:trPr>
        <w:tc>
          <w:tcPr>
            <w:tcW w:w="990" w:type="dxa"/>
            <w:vMerge w:val="restart"/>
            <w:tcBorders>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组别</w:t>
            </w:r>
          </w:p>
        </w:tc>
        <w:tc>
          <w:tcPr>
            <w:tcW w:w="720" w:type="dxa"/>
            <w:vMerge w:val="restart"/>
            <w:tcBorders>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例数</w:t>
            </w:r>
          </w:p>
        </w:tc>
        <w:tc>
          <w:tcPr>
            <w:tcW w:w="1245" w:type="dxa"/>
            <w:vMerge w:val="restart"/>
            <w:tcBorders>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性别（男）</w:t>
            </w:r>
          </w:p>
        </w:tc>
        <w:tc>
          <w:tcPr>
            <w:tcW w:w="1425" w:type="dxa"/>
            <w:vMerge w:val="restart"/>
            <w:tcBorders>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年龄（岁）</w:t>
            </w:r>
          </w:p>
        </w:tc>
        <w:tc>
          <w:tcPr>
            <w:tcW w:w="1590" w:type="dxa"/>
            <w:vMerge w:val="restart"/>
            <w:tcBorders>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白细胞计数（×10</w:t>
            </w:r>
            <w:r>
              <w:rPr>
                <w:rFonts w:hint="eastAsia" w:asciiTheme="minorEastAsia" w:hAnsiTheme="minorEastAsia" w:cstheme="minorEastAsia"/>
                <w:sz w:val="21"/>
                <w:szCs w:val="21"/>
                <w:vertAlign w:val="superscript"/>
              </w:rPr>
              <w:t>9</w:t>
            </w:r>
            <w:r>
              <w:rPr>
                <w:rFonts w:hint="eastAsia" w:asciiTheme="minorEastAsia" w:hAnsiTheme="minorEastAsia" w:cstheme="minorEastAsia"/>
                <w:sz w:val="21"/>
                <w:szCs w:val="21"/>
              </w:rPr>
              <w:t>/L）</w:t>
            </w:r>
          </w:p>
        </w:tc>
        <w:tc>
          <w:tcPr>
            <w:tcW w:w="1515" w:type="dxa"/>
            <w:vMerge w:val="restart"/>
            <w:tcBorders>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APACHEⅡ评分（分）</w:t>
            </w:r>
          </w:p>
        </w:tc>
        <w:tc>
          <w:tcPr>
            <w:tcW w:w="4095" w:type="dxa"/>
            <w:gridSpan w:val="3"/>
            <w:tcBorders>
              <w:left w:val="nil"/>
              <w:bottom w:val="single" w:color="auto" w:sz="4" w:space="0"/>
              <w:right w:val="nil"/>
            </w:tcBorders>
          </w:tcPr>
          <w:p>
            <w:pPr>
              <w:spacing w:line="360" w:lineRule="auto"/>
              <w:jc w:val="center"/>
              <w:rPr>
                <w:rFonts w:hint="eastAsia" w:asciiTheme="minorEastAsia" w:hAnsiTheme="minorEastAsia" w:eastAsiaTheme="minorEastAsia" w:cstheme="minorEastAsia"/>
                <w:color w:val="FF0000"/>
                <w:sz w:val="21"/>
                <w:szCs w:val="21"/>
                <w:lang w:eastAsia="zh-CN"/>
              </w:rPr>
            </w:pPr>
            <w:r>
              <w:rPr>
                <w:rFonts w:hint="eastAsia" w:asciiTheme="minorEastAsia" w:hAnsiTheme="minorEastAsia" w:cstheme="minorEastAsia"/>
                <w:color w:val="FF0000"/>
                <w:sz w:val="21"/>
                <w:szCs w:val="21"/>
                <w:lang w:eastAsia="zh-CN"/>
              </w:rPr>
              <w:t>原发病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97" w:hRule="atLeast"/>
        </w:trPr>
        <w:tc>
          <w:tcPr>
            <w:tcW w:w="990" w:type="dxa"/>
            <w:vMerge w:val="continue"/>
            <w:tcBorders>
              <w:left w:val="nil"/>
              <w:bottom w:val="single" w:color="auto" w:sz="4" w:space="0"/>
              <w:right w:val="nil"/>
            </w:tcBorders>
          </w:tcPr>
          <w:p>
            <w:pPr>
              <w:spacing w:line="360" w:lineRule="auto"/>
              <w:jc w:val="center"/>
              <w:rPr>
                <w:sz w:val="21"/>
                <w:szCs w:val="21"/>
              </w:rPr>
            </w:pPr>
          </w:p>
        </w:tc>
        <w:tc>
          <w:tcPr>
            <w:tcW w:w="720" w:type="dxa"/>
            <w:vMerge w:val="continue"/>
            <w:tcBorders>
              <w:left w:val="nil"/>
              <w:bottom w:val="single" w:color="auto" w:sz="4" w:space="0"/>
              <w:right w:val="nil"/>
            </w:tcBorders>
          </w:tcPr>
          <w:p>
            <w:pPr>
              <w:spacing w:line="360" w:lineRule="auto"/>
              <w:jc w:val="center"/>
              <w:rPr>
                <w:sz w:val="21"/>
                <w:szCs w:val="21"/>
              </w:rPr>
            </w:pPr>
          </w:p>
        </w:tc>
        <w:tc>
          <w:tcPr>
            <w:tcW w:w="1245" w:type="dxa"/>
            <w:vMerge w:val="continue"/>
            <w:tcBorders>
              <w:left w:val="nil"/>
              <w:bottom w:val="single" w:color="auto" w:sz="4" w:space="0"/>
              <w:right w:val="nil"/>
            </w:tcBorders>
          </w:tcPr>
          <w:p>
            <w:pPr>
              <w:spacing w:line="360" w:lineRule="auto"/>
              <w:jc w:val="center"/>
              <w:rPr>
                <w:sz w:val="21"/>
                <w:szCs w:val="21"/>
              </w:rPr>
            </w:pPr>
          </w:p>
        </w:tc>
        <w:tc>
          <w:tcPr>
            <w:tcW w:w="1425" w:type="dxa"/>
            <w:vMerge w:val="continue"/>
            <w:tcBorders>
              <w:left w:val="nil"/>
              <w:bottom w:val="single" w:color="auto" w:sz="4" w:space="0"/>
              <w:right w:val="nil"/>
            </w:tcBorders>
          </w:tcPr>
          <w:p>
            <w:pPr>
              <w:spacing w:line="360" w:lineRule="auto"/>
              <w:jc w:val="center"/>
              <w:rPr>
                <w:sz w:val="21"/>
                <w:szCs w:val="21"/>
              </w:rPr>
            </w:pPr>
          </w:p>
        </w:tc>
        <w:tc>
          <w:tcPr>
            <w:tcW w:w="1590" w:type="dxa"/>
            <w:vMerge w:val="continue"/>
            <w:tcBorders>
              <w:left w:val="nil"/>
              <w:bottom w:val="single" w:color="auto" w:sz="4" w:space="0"/>
              <w:right w:val="nil"/>
            </w:tcBorders>
          </w:tcPr>
          <w:p>
            <w:pPr>
              <w:spacing w:line="360" w:lineRule="auto"/>
              <w:jc w:val="center"/>
              <w:rPr>
                <w:sz w:val="21"/>
                <w:szCs w:val="21"/>
              </w:rPr>
            </w:pPr>
          </w:p>
        </w:tc>
        <w:tc>
          <w:tcPr>
            <w:tcW w:w="1515" w:type="dxa"/>
            <w:vMerge w:val="continue"/>
            <w:tcBorders>
              <w:left w:val="nil"/>
              <w:bottom w:val="single" w:color="auto" w:sz="4" w:space="0"/>
              <w:right w:val="nil"/>
            </w:tcBorders>
          </w:tcPr>
          <w:p>
            <w:pPr>
              <w:spacing w:line="360" w:lineRule="auto"/>
              <w:jc w:val="center"/>
              <w:rPr>
                <w:sz w:val="21"/>
                <w:szCs w:val="21"/>
              </w:rPr>
            </w:pPr>
          </w:p>
        </w:tc>
        <w:tc>
          <w:tcPr>
            <w:tcW w:w="1395" w:type="dxa"/>
            <w:tcBorders>
              <w:left w:val="nil"/>
              <w:bottom w:val="single" w:color="auto" w:sz="4" w:space="0"/>
              <w:right w:val="nil"/>
            </w:tcBorders>
          </w:tcPr>
          <w:p>
            <w:pPr>
              <w:spacing w:line="360" w:lineRule="auto"/>
              <w:jc w:val="center"/>
              <w:rPr>
                <w:rFonts w:hint="eastAsia" w:asciiTheme="minorEastAsia" w:hAnsiTheme="minorEastAsia" w:eastAsiaTheme="minorEastAsia" w:cstheme="minorEastAsia"/>
                <w:color w:val="FF0000"/>
                <w:sz w:val="21"/>
                <w:szCs w:val="21"/>
                <w:lang w:eastAsia="zh-CN"/>
              </w:rPr>
            </w:pPr>
            <w:r>
              <w:rPr>
                <w:rFonts w:hint="eastAsia" w:asciiTheme="minorEastAsia" w:hAnsiTheme="minorEastAsia" w:cstheme="minorEastAsia"/>
                <w:color w:val="FF0000"/>
                <w:sz w:val="21"/>
                <w:szCs w:val="21"/>
                <w:lang w:eastAsia="zh-CN"/>
              </w:rPr>
              <w:t>多发性创伤</w:t>
            </w:r>
          </w:p>
        </w:tc>
        <w:tc>
          <w:tcPr>
            <w:tcW w:w="1365" w:type="dxa"/>
            <w:tcBorders>
              <w:left w:val="nil"/>
              <w:bottom w:val="single" w:color="auto" w:sz="4" w:space="0"/>
              <w:right w:val="nil"/>
            </w:tcBorders>
          </w:tcPr>
          <w:p>
            <w:pPr>
              <w:spacing w:line="360" w:lineRule="auto"/>
              <w:jc w:val="center"/>
              <w:rPr>
                <w:rFonts w:hint="eastAsia" w:asciiTheme="minorEastAsia" w:hAnsiTheme="minorEastAsia" w:eastAsiaTheme="minorEastAsia" w:cstheme="minorEastAsia"/>
                <w:color w:val="FF0000"/>
                <w:sz w:val="21"/>
                <w:szCs w:val="21"/>
                <w:lang w:eastAsia="zh-CN"/>
              </w:rPr>
            </w:pPr>
            <w:r>
              <w:rPr>
                <w:rFonts w:hint="eastAsia" w:asciiTheme="minorEastAsia" w:hAnsiTheme="minorEastAsia" w:cstheme="minorEastAsia"/>
                <w:color w:val="FF0000"/>
                <w:sz w:val="21"/>
                <w:szCs w:val="21"/>
                <w:lang w:eastAsia="zh-CN"/>
              </w:rPr>
              <w:t>肺部感染</w:t>
            </w:r>
          </w:p>
        </w:tc>
        <w:tc>
          <w:tcPr>
            <w:tcW w:w="1335" w:type="dxa"/>
            <w:tcBorders>
              <w:left w:val="nil"/>
              <w:bottom w:val="single" w:color="auto" w:sz="4" w:space="0"/>
              <w:right w:val="nil"/>
            </w:tcBorders>
          </w:tcPr>
          <w:p>
            <w:pPr>
              <w:spacing w:line="360" w:lineRule="auto"/>
              <w:jc w:val="center"/>
              <w:rPr>
                <w:rFonts w:hint="eastAsia" w:asciiTheme="minorEastAsia" w:hAnsiTheme="minorEastAsia" w:eastAsiaTheme="minorEastAsia" w:cstheme="minorEastAsia"/>
                <w:color w:val="FF0000"/>
                <w:sz w:val="21"/>
                <w:szCs w:val="21"/>
                <w:lang w:eastAsia="zh-CN"/>
              </w:rPr>
            </w:pPr>
            <w:r>
              <w:rPr>
                <w:rFonts w:hint="eastAsia" w:asciiTheme="minorEastAsia" w:hAnsiTheme="minorEastAsia" w:cstheme="minorEastAsia"/>
                <w:color w:val="FF0000"/>
                <w:sz w:val="21"/>
                <w:szCs w:val="21"/>
                <w:lang w:eastAsia="zh-CN"/>
              </w:rPr>
              <w:t>重症胰腺炎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0" w:type="dxa"/>
            <w:tcBorders>
              <w:top w:val="single" w:color="auto" w:sz="4" w:space="0"/>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存活组</w:t>
            </w:r>
          </w:p>
        </w:tc>
        <w:tc>
          <w:tcPr>
            <w:tcW w:w="720" w:type="dxa"/>
            <w:tcBorders>
              <w:top w:val="single" w:color="auto" w:sz="4" w:space="0"/>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38</w:t>
            </w:r>
          </w:p>
        </w:tc>
        <w:tc>
          <w:tcPr>
            <w:tcW w:w="1245" w:type="dxa"/>
            <w:tcBorders>
              <w:top w:val="single" w:color="auto" w:sz="4" w:space="0"/>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24（63.16）</w:t>
            </w:r>
          </w:p>
        </w:tc>
        <w:tc>
          <w:tcPr>
            <w:tcW w:w="1425" w:type="dxa"/>
            <w:tcBorders>
              <w:top w:val="single" w:color="auto" w:sz="4" w:space="0"/>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53.67±5.13</w:t>
            </w:r>
          </w:p>
        </w:tc>
        <w:tc>
          <w:tcPr>
            <w:tcW w:w="1590" w:type="dxa"/>
            <w:tcBorders>
              <w:top w:val="single" w:color="auto" w:sz="4" w:space="0"/>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14.23±3.10</w:t>
            </w:r>
          </w:p>
        </w:tc>
        <w:tc>
          <w:tcPr>
            <w:tcW w:w="1515" w:type="dxa"/>
            <w:tcBorders>
              <w:top w:val="single" w:color="auto" w:sz="4" w:space="0"/>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21.35±7.57</w:t>
            </w:r>
          </w:p>
        </w:tc>
        <w:tc>
          <w:tcPr>
            <w:tcW w:w="1395" w:type="dxa"/>
            <w:tcBorders>
              <w:top w:val="single" w:color="auto" w:sz="4" w:space="0"/>
              <w:left w:val="nil"/>
              <w:bottom w:val="nil"/>
              <w:right w:val="nil"/>
            </w:tcBorders>
          </w:tcPr>
          <w:p>
            <w:pPr>
              <w:spacing w:line="360" w:lineRule="auto"/>
              <w:jc w:val="center"/>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cstheme="minorEastAsia"/>
                <w:color w:val="FF0000"/>
                <w:sz w:val="21"/>
                <w:szCs w:val="21"/>
                <w:lang w:val="en-US" w:eastAsia="zh-CN"/>
              </w:rPr>
              <w:t>12（31.58）</w:t>
            </w:r>
          </w:p>
        </w:tc>
        <w:tc>
          <w:tcPr>
            <w:tcW w:w="1365" w:type="dxa"/>
            <w:tcBorders>
              <w:top w:val="single" w:color="auto" w:sz="4" w:space="0"/>
              <w:left w:val="nil"/>
              <w:bottom w:val="nil"/>
              <w:right w:val="nil"/>
            </w:tcBorders>
          </w:tcPr>
          <w:p>
            <w:pPr>
              <w:spacing w:line="360" w:lineRule="auto"/>
              <w:jc w:val="center"/>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cstheme="minorEastAsia"/>
                <w:color w:val="FF0000"/>
                <w:sz w:val="21"/>
                <w:szCs w:val="21"/>
                <w:lang w:val="en-US" w:eastAsia="zh-CN"/>
              </w:rPr>
              <w:t>16（42.11）</w:t>
            </w:r>
          </w:p>
        </w:tc>
        <w:tc>
          <w:tcPr>
            <w:tcW w:w="1335" w:type="dxa"/>
            <w:tcBorders>
              <w:top w:val="single" w:color="auto" w:sz="4" w:space="0"/>
              <w:left w:val="nil"/>
              <w:bottom w:val="nil"/>
              <w:right w:val="nil"/>
            </w:tcBorders>
          </w:tcPr>
          <w:p>
            <w:pPr>
              <w:spacing w:line="360" w:lineRule="auto"/>
              <w:jc w:val="center"/>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cstheme="minorEastAsia"/>
                <w:color w:val="FF0000"/>
                <w:sz w:val="21"/>
                <w:szCs w:val="21"/>
                <w:lang w:val="en-US" w:eastAsia="zh-CN"/>
              </w:rPr>
              <w:t>10（26.32）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0"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死亡组</w:t>
            </w:r>
          </w:p>
        </w:tc>
        <w:tc>
          <w:tcPr>
            <w:tcW w:w="720"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14</w:t>
            </w:r>
          </w:p>
        </w:tc>
        <w:tc>
          <w:tcPr>
            <w:tcW w:w="1245"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10（71.43）</w:t>
            </w:r>
          </w:p>
        </w:tc>
        <w:tc>
          <w:tcPr>
            <w:tcW w:w="1425"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52.89±4.94</w:t>
            </w:r>
          </w:p>
        </w:tc>
        <w:tc>
          <w:tcPr>
            <w:tcW w:w="1590"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14.05±2.93</w:t>
            </w:r>
          </w:p>
        </w:tc>
        <w:tc>
          <w:tcPr>
            <w:tcW w:w="1515"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32.97±12.14</w:t>
            </w:r>
          </w:p>
        </w:tc>
        <w:tc>
          <w:tcPr>
            <w:tcW w:w="1395" w:type="dxa"/>
            <w:tcBorders>
              <w:top w:val="nil"/>
              <w:left w:val="nil"/>
              <w:bottom w:val="nil"/>
              <w:right w:val="nil"/>
            </w:tcBorders>
          </w:tcPr>
          <w:p>
            <w:pPr>
              <w:spacing w:line="360" w:lineRule="auto"/>
              <w:jc w:val="center"/>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cstheme="minorEastAsia"/>
                <w:color w:val="FF0000"/>
                <w:sz w:val="21"/>
                <w:szCs w:val="21"/>
                <w:lang w:val="en-US" w:eastAsia="zh-CN"/>
              </w:rPr>
              <w:t>5（35.71）</w:t>
            </w:r>
          </w:p>
        </w:tc>
        <w:tc>
          <w:tcPr>
            <w:tcW w:w="1365" w:type="dxa"/>
            <w:tcBorders>
              <w:top w:val="nil"/>
              <w:left w:val="nil"/>
              <w:bottom w:val="nil"/>
              <w:right w:val="nil"/>
            </w:tcBorders>
          </w:tcPr>
          <w:p>
            <w:pPr>
              <w:spacing w:line="360" w:lineRule="auto"/>
              <w:jc w:val="center"/>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cstheme="minorEastAsia"/>
                <w:color w:val="FF0000"/>
                <w:sz w:val="21"/>
                <w:szCs w:val="21"/>
                <w:lang w:val="en-US" w:eastAsia="zh-CN"/>
              </w:rPr>
              <w:t>7（50.00）</w:t>
            </w:r>
          </w:p>
        </w:tc>
        <w:tc>
          <w:tcPr>
            <w:tcW w:w="1335" w:type="dxa"/>
            <w:tcBorders>
              <w:top w:val="nil"/>
              <w:left w:val="nil"/>
              <w:bottom w:val="nil"/>
              <w:right w:val="nil"/>
            </w:tcBorders>
          </w:tcPr>
          <w:p>
            <w:pPr>
              <w:spacing w:line="360" w:lineRule="auto"/>
              <w:jc w:val="center"/>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cstheme="minorEastAsia"/>
                <w:color w:val="FF0000"/>
                <w:sz w:val="21"/>
                <w:szCs w:val="21"/>
                <w:lang w:val="en-US" w:eastAsia="zh-CN"/>
              </w:rPr>
              <w:t>2（14.29）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0"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x</w:t>
            </w:r>
            <w:r>
              <w:rPr>
                <w:rFonts w:hint="eastAsia" w:asciiTheme="minorEastAsia" w:hAnsiTheme="minorEastAsia" w:cstheme="minorEastAsia"/>
                <w:sz w:val="21"/>
                <w:szCs w:val="21"/>
                <w:vertAlign w:val="superscript"/>
              </w:rPr>
              <w:t>2</w:t>
            </w:r>
            <w:r>
              <w:rPr>
                <w:rFonts w:hint="eastAsia" w:asciiTheme="minorEastAsia" w:hAnsiTheme="minorEastAsia" w:cstheme="minorEastAsia"/>
                <w:sz w:val="21"/>
                <w:szCs w:val="21"/>
              </w:rPr>
              <w:t>/t</w:t>
            </w:r>
          </w:p>
        </w:tc>
        <w:tc>
          <w:tcPr>
            <w:tcW w:w="720" w:type="dxa"/>
            <w:tcBorders>
              <w:top w:val="nil"/>
              <w:left w:val="nil"/>
              <w:bottom w:val="nil"/>
              <w:right w:val="nil"/>
            </w:tcBorders>
          </w:tcPr>
          <w:p>
            <w:pPr>
              <w:spacing w:line="360" w:lineRule="auto"/>
              <w:jc w:val="center"/>
              <w:rPr>
                <w:rFonts w:asciiTheme="minorEastAsia" w:hAnsiTheme="minorEastAsia" w:cstheme="minorEastAsia"/>
                <w:sz w:val="21"/>
                <w:szCs w:val="21"/>
              </w:rPr>
            </w:pPr>
          </w:p>
        </w:tc>
        <w:tc>
          <w:tcPr>
            <w:tcW w:w="1245"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0.773</w:t>
            </w:r>
          </w:p>
        </w:tc>
        <w:tc>
          <w:tcPr>
            <w:tcW w:w="1425"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0.962</w:t>
            </w:r>
          </w:p>
        </w:tc>
        <w:tc>
          <w:tcPr>
            <w:tcW w:w="1590"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0.278</w:t>
            </w:r>
          </w:p>
        </w:tc>
        <w:tc>
          <w:tcPr>
            <w:tcW w:w="1515" w:type="dxa"/>
            <w:tcBorders>
              <w:top w:val="nil"/>
              <w:left w:val="nil"/>
              <w:bottom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5.332</w:t>
            </w:r>
          </w:p>
        </w:tc>
        <w:tc>
          <w:tcPr>
            <w:tcW w:w="4095" w:type="dxa"/>
            <w:gridSpan w:val="3"/>
            <w:tcBorders>
              <w:top w:val="nil"/>
              <w:left w:val="nil"/>
              <w:bottom w:val="nil"/>
              <w:right w:val="nil"/>
            </w:tcBorders>
          </w:tcPr>
          <w:p>
            <w:pPr>
              <w:spacing w:line="360" w:lineRule="auto"/>
              <w:jc w:val="center"/>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cstheme="minorEastAsia"/>
                <w:color w:val="FF0000"/>
                <w:sz w:val="21"/>
                <w:szCs w:val="21"/>
                <w:lang w:val="en-US" w:eastAsia="zh-CN"/>
              </w:rPr>
              <w:t>0.311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90" w:type="dxa"/>
            <w:tcBorders>
              <w:top w:val="nil"/>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P</w:t>
            </w:r>
          </w:p>
        </w:tc>
        <w:tc>
          <w:tcPr>
            <w:tcW w:w="720" w:type="dxa"/>
            <w:tcBorders>
              <w:top w:val="nil"/>
              <w:left w:val="nil"/>
              <w:right w:val="nil"/>
            </w:tcBorders>
          </w:tcPr>
          <w:p>
            <w:pPr>
              <w:spacing w:line="360" w:lineRule="auto"/>
              <w:jc w:val="center"/>
              <w:rPr>
                <w:rFonts w:asciiTheme="minorEastAsia" w:hAnsiTheme="minorEastAsia" w:cstheme="minorEastAsia"/>
                <w:sz w:val="21"/>
                <w:szCs w:val="21"/>
              </w:rPr>
            </w:pPr>
          </w:p>
        </w:tc>
        <w:tc>
          <w:tcPr>
            <w:tcW w:w="1245" w:type="dxa"/>
            <w:tcBorders>
              <w:top w:val="nil"/>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&gt;0.05</w:t>
            </w:r>
          </w:p>
        </w:tc>
        <w:tc>
          <w:tcPr>
            <w:tcW w:w="1425" w:type="dxa"/>
            <w:tcBorders>
              <w:top w:val="nil"/>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&gt;0.05</w:t>
            </w:r>
          </w:p>
        </w:tc>
        <w:tc>
          <w:tcPr>
            <w:tcW w:w="1590" w:type="dxa"/>
            <w:tcBorders>
              <w:top w:val="nil"/>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&gt;0.05</w:t>
            </w:r>
          </w:p>
        </w:tc>
        <w:tc>
          <w:tcPr>
            <w:tcW w:w="1515" w:type="dxa"/>
            <w:tcBorders>
              <w:top w:val="nil"/>
              <w:left w:val="nil"/>
              <w:right w:val="nil"/>
            </w:tcBorders>
          </w:tcPr>
          <w:p>
            <w:pPr>
              <w:spacing w:line="360" w:lineRule="auto"/>
              <w:jc w:val="center"/>
              <w:rPr>
                <w:rFonts w:asciiTheme="minorEastAsia" w:hAnsiTheme="minorEastAsia" w:cstheme="minorEastAsia"/>
                <w:sz w:val="21"/>
                <w:szCs w:val="21"/>
              </w:rPr>
            </w:pPr>
            <w:r>
              <w:rPr>
                <w:rFonts w:hint="eastAsia" w:asciiTheme="minorEastAsia" w:hAnsiTheme="minorEastAsia" w:cstheme="minorEastAsia"/>
                <w:sz w:val="21"/>
                <w:szCs w:val="21"/>
              </w:rPr>
              <w:t>&lt;0.05</w:t>
            </w:r>
          </w:p>
        </w:tc>
        <w:tc>
          <w:tcPr>
            <w:tcW w:w="4095" w:type="dxa"/>
            <w:gridSpan w:val="3"/>
            <w:tcBorders>
              <w:top w:val="nil"/>
              <w:left w:val="nil"/>
              <w:right w:val="nil"/>
            </w:tcBorders>
          </w:tcPr>
          <w:p>
            <w:pPr>
              <w:spacing w:line="360" w:lineRule="auto"/>
              <w:jc w:val="center"/>
              <w:rPr>
                <w:rFonts w:hint="eastAsia" w:asciiTheme="minorEastAsia" w:hAnsiTheme="minorEastAsia" w:eastAsiaTheme="minorEastAsia" w:cstheme="minorEastAsia"/>
                <w:color w:val="FF0000"/>
                <w:sz w:val="21"/>
                <w:szCs w:val="21"/>
                <w:lang w:val="en-US" w:eastAsia="zh-CN"/>
              </w:rPr>
            </w:pPr>
            <w:r>
              <w:rPr>
                <w:rFonts w:hint="eastAsia" w:asciiTheme="minorEastAsia" w:hAnsiTheme="minorEastAsia" w:cstheme="minorEastAsia"/>
                <w:color w:val="FF0000"/>
                <w:sz w:val="21"/>
                <w:szCs w:val="21"/>
                <w:lang w:val="en-US" w:eastAsia="zh-CN"/>
              </w:rPr>
              <w:t>&gt;0.05</w:t>
            </w:r>
          </w:p>
        </w:tc>
      </w:tr>
    </w:tbl>
    <w:p>
      <w:pPr>
        <w:spacing w:line="360" w:lineRule="auto"/>
        <w:rPr>
          <w:rFonts w:hint="eastAsia" w:asciiTheme="minorEastAsia" w:hAnsiTheme="minorEastAsia" w:cstheme="minorEastAsia"/>
          <w:b/>
          <w:bCs/>
          <w:color w:val="0000FF"/>
          <w:sz w:val="24"/>
          <w:highlight w:val="green"/>
        </w:rPr>
      </w:pPr>
      <w:r>
        <w:rPr>
          <w:rFonts w:hint="eastAsia" w:asciiTheme="minorEastAsia" w:hAnsiTheme="minorEastAsia" w:cstheme="minorEastAsia"/>
          <w:b/>
          <w:bCs/>
          <w:sz w:val="24"/>
        </w:rPr>
        <w:t>2.2 存活组与死亡组患者EVLWI及氧合</w:t>
      </w:r>
      <w:r>
        <w:rPr>
          <w:rFonts w:hint="eastAsia" w:asciiTheme="minorEastAsia" w:hAnsiTheme="minorEastAsia" w:cstheme="minorEastAsia"/>
          <w:b/>
          <w:bCs/>
          <w:color w:val="0000FF"/>
          <w:sz w:val="24"/>
          <w:highlight w:val="green"/>
        </w:rPr>
        <w:t>指数水平动态变化</w:t>
      </w:r>
    </w:p>
    <w:p>
      <w:pPr>
        <w:spacing w:line="360" w:lineRule="auto"/>
        <w:rPr>
          <w:rFonts w:asciiTheme="minorEastAsia" w:hAnsiTheme="minorEastAsia" w:cstheme="minorEastAsia"/>
          <w:sz w:val="24"/>
        </w:rPr>
      </w:pPr>
      <w:r>
        <w:rPr>
          <w:rFonts w:hint="eastAsia" w:asciiTheme="minorEastAsia" w:hAnsiTheme="minorEastAsia" w:cstheme="minorEastAsia"/>
          <w:sz w:val="24"/>
        </w:rPr>
        <w:t xml:space="preserve">    两组患者第1d、2d、3d的EVLWI及氧合指数水平变化具有显著差异，存活组氧合指数随时间呈上升的趋势，EVLWI</w:t>
      </w:r>
      <w:r>
        <w:rPr>
          <w:rFonts w:hint="eastAsia" w:asciiTheme="minorEastAsia" w:hAnsiTheme="minorEastAsia" w:cstheme="minorEastAsia"/>
          <w:sz w:val="24"/>
          <w:lang w:eastAsia="zh-CN"/>
        </w:rPr>
        <w:t>及</w:t>
      </w:r>
      <w:r>
        <w:rPr>
          <w:rFonts w:hint="eastAsia" w:asciiTheme="minorEastAsia" w:hAnsiTheme="minorEastAsia" w:cstheme="minorEastAsia"/>
          <w:sz w:val="24"/>
          <w:lang w:val="en-US" w:eastAsia="zh-CN"/>
        </w:rPr>
        <w:t>PVPI</w:t>
      </w:r>
      <w:r>
        <w:rPr>
          <w:rFonts w:hint="eastAsia" w:asciiTheme="minorEastAsia" w:hAnsiTheme="minorEastAsia" w:cstheme="minorEastAsia"/>
          <w:sz w:val="24"/>
        </w:rPr>
        <w:t>随时间呈下降趋势（P&lt;0.05），死亡组氧合指数随时间呈下降的趋势，EVLWI</w:t>
      </w:r>
      <w:r>
        <w:rPr>
          <w:rFonts w:hint="eastAsia" w:asciiTheme="minorEastAsia" w:hAnsiTheme="minorEastAsia" w:cstheme="minorEastAsia"/>
          <w:sz w:val="24"/>
          <w:lang w:eastAsia="zh-CN"/>
        </w:rPr>
        <w:t>、</w:t>
      </w:r>
      <w:r>
        <w:rPr>
          <w:rFonts w:hint="eastAsia" w:asciiTheme="minorEastAsia" w:hAnsiTheme="minorEastAsia" w:cstheme="minorEastAsia"/>
          <w:sz w:val="24"/>
        </w:rPr>
        <w:t>CI</w:t>
      </w:r>
      <w:r>
        <w:rPr>
          <w:rFonts w:hint="eastAsia" w:asciiTheme="minorEastAsia" w:hAnsiTheme="minorEastAsia" w:cstheme="minorEastAsia"/>
          <w:sz w:val="24"/>
          <w:lang w:eastAsia="zh-CN"/>
        </w:rPr>
        <w:t>及</w:t>
      </w:r>
      <w:r>
        <w:rPr>
          <w:rFonts w:hint="eastAsia" w:asciiTheme="minorEastAsia" w:hAnsiTheme="minorEastAsia" w:cstheme="minorEastAsia"/>
          <w:sz w:val="24"/>
          <w:lang w:val="en-US" w:eastAsia="zh-CN"/>
        </w:rPr>
        <w:t>PVPI</w:t>
      </w:r>
      <w:r>
        <w:rPr>
          <w:rFonts w:hint="eastAsia" w:asciiTheme="minorEastAsia" w:hAnsiTheme="minorEastAsia" w:cstheme="minorEastAsia"/>
          <w:sz w:val="24"/>
        </w:rPr>
        <w:t>随时间呈上升的趋势（P&lt;0.05），与死亡组第2d、3d对比，存活组第2d、3d的CI、EVLWI</w:t>
      </w:r>
      <w:r>
        <w:rPr>
          <w:rFonts w:hint="eastAsia" w:asciiTheme="minorEastAsia" w:hAnsiTheme="minorEastAsia" w:cstheme="minorEastAsia"/>
          <w:sz w:val="24"/>
          <w:lang w:eastAsia="zh-CN"/>
        </w:rPr>
        <w:t>、</w:t>
      </w:r>
      <w:r>
        <w:rPr>
          <w:rFonts w:hint="eastAsia" w:asciiTheme="minorEastAsia" w:hAnsiTheme="minorEastAsia" w:cstheme="minorEastAsia"/>
          <w:sz w:val="24"/>
          <w:lang w:val="en-US" w:eastAsia="zh-CN"/>
        </w:rPr>
        <w:t>PVPI</w:t>
      </w:r>
      <w:r>
        <w:rPr>
          <w:rFonts w:hint="eastAsia" w:asciiTheme="minorEastAsia" w:hAnsiTheme="minorEastAsia" w:cstheme="minorEastAsia"/>
          <w:sz w:val="24"/>
        </w:rPr>
        <w:t>显著降低，氧合指数显著升高，差异有统计学意义（P&lt;0.05），见表2。</w:t>
      </w:r>
    </w:p>
    <w:p>
      <w:pPr>
        <w:spacing w:line="360" w:lineRule="auto"/>
        <w:jc w:val="center"/>
        <w:rPr>
          <w:rFonts w:asciiTheme="minorEastAsia" w:hAnsiTheme="minorEastAsia" w:cstheme="minorEastAsia"/>
          <w:color w:val="0000FF"/>
          <w:sz w:val="24"/>
          <w:highlight w:val="green"/>
        </w:rPr>
      </w:pPr>
      <w:r>
        <w:rPr>
          <w:rFonts w:hint="eastAsia" w:asciiTheme="minorEastAsia" w:hAnsiTheme="minorEastAsia" w:cstheme="minorEastAsia"/>
          <w:sz w:val="24"/>
        </w:rPr>
        <w:t>表2 存活组与死亡组患者EVLWI及</w:t>
      </w:r>
      <w:r>
        <w:rPr>
          <w:rFonts w:hint="eastAsia" w:asciiTheme="minorEastAsia" w:hAnsiTheme="minorEastAsia" w:cstheme="minorEastAsia"/>
          <w:color w:val="0000FF"/>
          <w:sz w:val="24"/>
          <w:highlight w:val="green"/>
        </w:rPr>
        <w:t>氧合指数水平动态变化</w:t>
      </w:r>
    </w:p>
    <w:tbl>
      <w:tblPr>
        <w:tblStyle w:val="7"/>
        <w:tblW w:w="11387" w:type="dxa"/>
        <w:jc w:val="center"/>
        <w:tblInd w:w="-36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8"/>
        <w:gridCol w:w="1020"/>
        <w:gridCol w:w="2231"/>
        <w:gridCol w:w="944"/>
        <w:gridCol w:w="1013"/>
        <w:gridCol w:w="1253"/>
        <w:gridCol w:w="1472"/>
        <w:gridCol w:w="22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8" w:hRule="atLeast"/>
          <w:jc w:val="center"/>
        </w:trPr>
        <w:tc>
          <w:tcPr>
            <w:tcW w:w="1218" w:type="dxa"/>
            <w:tcBorders>
              <w:left w:val="nil"/>
              <w:bottom w:val="single" w:color="auto" w:sz="4" w:space="0"/>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组别</w:t>
            </w:r>
          </w:p>
        </w:tc>
        <w:tc>
          <w:tcPr>
            <w:tcW w:w="1020" w:type="dxa"/>
            <w:tcBorders>
              <w:left w:val="nil"/>
              <w:bottom w:val="single" w:color="auto" w:sz="4" w:space="0"/>
              <w:right w:val="nil"/>
            </w:tcBorders>
          </w:tcPr>
          <w:p>
            <w:pPr>
              <w:spacing w:line="360" w:lineRule="auto"/>
              <w:jc w:val="center"/>
              <w:rPr>
                <w:rFonts w:asciiTheme="minorEastAsia" w:hAnsiTheme="minorEastAsia" w:cstheme="minorEastAsia"/>
                <w:sz w:val="24"/>
              </w:rPr>
            </w:pPr>
          </w:p>
        </w:tc>
        <w:tc>
          <w:tcPr>
            <w:tcW w:w="2231" w:type="dxa"/>
            <w:tcBorders>
              <w:left w:val="nil"/>
              <w:bottom w:val="single" w:color="auto" w:sz="4" w:space="0"/>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CI(L/(min.m2)</w:t>
            </w:r>
          </w:p>
        </w:tc>
        <w:tc>
          <w:tcPr>
            <w:tcW w:w="944" w:type="dxa"/>
            <w:tcBorders>
              <w:left w:val="nil"/>
              <w:bottom w:val="single" w:color="auto" w:sz="4" w:space="0"/>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CVP(mmHg)</w:t>
            </w:r>
          </w:p>
        </w:tc>
        <w:tc>
          <w:tcPr>
            <w:tcW w:w="1013" w:type="dxa"/>
            <w:tcBorders>
              <w:left w:val="nil"/>
              <w:bottom w:val="single" w:color="auto" w:sz="4" w:space="0"/>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MAP(mmHg)</w:t>
            </w:r>
          </w:p>
        </w:tc>
        <w:tc>
          <w:tcPr>
            <w:tcW w:w="1253" w:type="dxa"/>
            <w:tcBorders>
              <w:left w:val="nil"/>
              <w:bottom w:val="single" w:color="auto" w:sz="4" w:space="0"/>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EVLWI(mL/kg)</w:t>
            </w:r>
          </w:p>
        </w:tc>
        <w:tc>
          <w:tcPr>
            <w:tcW w:w="1472" w:type="dxa"/>
            <w:tcBorders>
              <w:left w:val="nil"/>
              <w:bottom w:val="single" w:color="auto" w:sz="4" w:space="0"/>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氧合指数(mmHg)</w:t>
            </w:r>
          </w:p>
        </w:tc>
        <w:tc>
          <w:tcPr>
            <w:tcW w:w="2236" w:type="dxa"/>
            <w:tcBorders>
              <w:left w:val="nil"/>
              <w:bottom w:val="single" w:color="auto" w:sz="4" w:space="0"/>
              <w:right w:val="nil"/>
            </w:tcBorders>
          </w:tcPr>
          <w:p>
            <w:pPr>
              <w:spacing w:line="360" w:lineRule="auto"/>
              <w:jc w:val="center"/>
              <w:rPr>
                <w:rFonts w:hint="eastAsia" w:asciiTheme="minorEastAsia" w:hAnsiTheme="minorEastAsia" w:eastAsiaTheme="minorEastAsia" w:cstheme="minorEastAsia"/>
                <w:color w:val="FF0000"/>
                <w:sz w:val="24"/>
                <w:lang w:val="en-US" w:eastAsia="zh-CN"/>
              </w:rPr>
            </w:pPr>
            <w:r>
              <w:rPr>
                <w:rFonts w:hint="eastAsia" w:asciiTheme="minorEastAsia" w:hAnsiTheme="minorEastAsia" w:cstheme="minorEastAsia"/>
                <w:color w:val="FF0000"/>
                <w:sz w:val="24"/>
                <w:lang w:val="en-US" w:eastAsia="zh-CN"/>
              </w:rPr>
              <w:t>PVPI（%）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18"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存活组</w:t>
            </w:r>
          </w:p>
        </w:tc>
        <w:tc>
          <w:tcPr>
            <w:tcW w:w="1020"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第1d</w:t>
            </w:r>
          </w:p>
        </w:tc>
        <w:tc>
          <w:tcPr>
            <w:tcW w:w="2231"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3.78±0.69</w:t>
            </w:r>
          </w:p>
        </w:tc>
        <w:tc>
          <w:tcPr>
            <w:tcW w:w="944"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9.12±2.78</w:t>
            </w:r>
          </w:p>
        </w:tc>
        <w:tc>
          <w:tcPr>
            <w:tcW w:w="1013"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57.33±7.39</w:t>
            </w:r>
          </w:p>
        </w:tc>
        <w:tc>
          <w:tcPr>
            <w:tcW w:w="1253"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13.18±1.79</w:t>
            </w:r>
          </w:p>
        </w:tc>
        <w:tc>
          <w:tcPr>
            <w:tcW w:w="1472"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141.12±21.45</w:t>
            </w:r>
          </w:p>
        </w:tc>
        <w:tc>
          <w:tcPr>
            <w:tcW w:w="2236" w:type="dxa"/>
            <w:tcBorders>
              <w:top w:val="single" w:color="auto" w:sz="4" w:space="0"/>
              <w:left w:val="nil"/>
              <w:bottom w:val="nil"/>
              <w:right w:val="nil"/>
            </w:tcBorders>
          </w:tcPr>
          <w:p>
            <w:pPr>
              <w:spacing w:line="360" w:lineRule="auto"/>
              <w:jc w:val="center"/>
              <w:rPr>
                <w:rFonts w:hint="eastAsia" w:asciiTheme="minorEastAsia" w:hAnsiTheme="minorEastAsia" w:eastAsiaTheme="minorEastAsia" w:cstheme="minorEastAsia"/>
                <w:color w:val="FF0000"/>
                <w:sz w:val="24"/>
                <w:lang w:val="en-US" w:eastAsia="zh-CN"/>
              </w:rPr>
            </w:pPr>
            <w:r>
              <w:rPr>
                <w:rFonts w:hint="eastAsia" w:asciiTheme="minorEastAsia" w:hAnsiTheme="minorEastAsia" w:cstheme="minorEastAsia"/>
                <w:color w:val="FF0000"/>
                <w:sz w:val="24"/>
                <w:lang w:val="en-US" w:eastAsia="zh-CN"/>
              </w:rPr>
              <w:t>2.51</w:t>
            </w:r>
            <w:r>
              <w:rPr>
                <w:rFonts w:hint="eastAsia" w:asciiTheme="minorEastAsia" w:hAnsiTheme="minorEastAsia" w:cstheme="minorEastAsia"/>
                <w:color w:val="FF0000"/>
                <w:sz w:val="24"/>
              </w:rPr>
              <w:t>±</w:t>
            </w:r>
            <w:r>
              <w:rPr>
                <w:rFonts w:hint="eastAsia" w:asciiTheme="minorEastAsia" w:hAnsiTheme="minorEastAsia" w:cstheme="minorEastAsia"/>
                <w:color w:val="FF0000"/>
                <w:sz w:val="24"/>
                <w:lang w:val="en-US" w:eastAsia="zh-CN"/>
              </w:rPr>
              <w:t>0.61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18" w:type="dxa"/>
            <w:tcBorders>
              <w:top w:val="nil"/>
              <w:left w:val="nil"/>
              <w:bottom w:val="nil"/>
              <w:right w:val="nil"/>
            </w:tcBorders>
          </w:tcPr>
          <w:p>
            <w:pPr>
              <w:spacing w:line="360" w:lineRule="auto"/>
              <w:jc w:val="center"/>
              <w:rPr>
                <w:rFonts w:asciiTheme="minorEastAsia" w:hAnsiTheme="minorEastAsia" w:cstheme="minorEastAsia"/>
                <w:sz w:val="24"/>
              </w:rPr>
            </w:pPr>
          </w:p>
        </w:tc>
        <w:tc>
          <w:tcPr>
            <w:tcW w:w="1020"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第2d</w:t>
            </w:r>
          </w:p>
        </w:tc>
        <w:tc>
          <w:tcPr>
            <w:tcW w:w="2231"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3.89±0.57#</w:t>
            </w:r>
          </w:p>
        </w:tc>
        <w:tc>
          <w:tcPr>
            <w:tcW w:w="944"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9.01±2.89</w:t>
            </w:r>
          </w:p>
        </w:tc>
        <w:tc>
          <w:tcPr>
            <w:tcW w:w="1013"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59.12±8.76</w:t>
            </w:r>
          </w:p>
        </w:tc>
        <w:tc>
          <w:tcPr>
            <w:tcW w:w="1253"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9.77±2.08*#</w:t>
            </w:r>
          </w:p>
        </w:tc>
        <w:tc>
          <w:tcPr>
            <w:tcW w:w="1472"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191.33±28.92*#</w:t>
            </w:r>
          </w:p>
        </w:tc>
        <w:tc>
          <w:tcPr>
            <w:tcW w:w="2236" w:type="dxa"/>
            <w:tcBorders>
              <w:top w:val="nil"/>
              <w:left w:val="nil"/>
              <w:bottom w:val="nil"/>
              <w:right w:val="nil"/>
            </w:tcBorders>
          </w:tcPr>
          <w:p>
            <w:pPr>
              <w:spacing w:line="360" w:lineRule="auto"/>
              <w:jc w:val="center"/>
              <w:rPr>
                <w:rFonts w:hint="eastAsia" w:asciiTheme="minorEastAsia" w:hAnsiTheme="minorEastAsia" w:eastAsiaTheme="minorEastAsia" w:cstheme="minorEastAsia"/>
                <w:color w:val="FF0000"/>
                <w:sz w:val="24"/>
                <w:lang w:val="en-US" w:eastAsia="zh-CN"/>
              </w:rPr>
            </w:pPr>
            <w:r>
              <w:rPr>
                <w:rFonts w:hint="eastAsia" w:asciiTheme="minorEastAsia" w:hAnsiTheme="minorEastAsia" w:cstheme="minorEastAsia"/>
                <w:color w:val="FF0000"/>
                <w:sz w:val="24"/>
                <w:lang w:val="en-US" w:eastAsia="zh-CN"/>
              </w:rPr>
              <w:t>2.00</w:t>
            </w:r>
            <w:r>
              <w:rPr>
                <w:rFonts w:hint="eastAsia" w:asciiTheme="minorEastAsia" w:hAnsiTheme="minorEastAsia" w:cstheme="minorEastAsia"/>
                <w:color w:val="FF0000"/>
                <w:sz w:val="24"/>
              </w:rPr>
              <w:t>±</w:t>
            </w:r>
            <w:r>
              <w:rPr>
                <w:rFonts w:hint="eastAsia" w:asciiTheme="minorEastAsia" w:hAnsiTheme="minorEastAsia" w:cstheme="minorEastAsia"/>
                <w:color w:val="FF0000"/>
                <w:sz w:val="24"/>
                <w:lang w:val="en-US" w:eastAsia="zh-CN"/>
              </w:rPr>
              <w:t>0.57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18" w:type="dxa"/>
            <w:tcBorders>
              <w:top w:val="nil"/>
              <w:left w:val="nil"/>
              <w:bottom w:val="nil"/>
              <w:right w:val="nil"/>
            </w:tcBorders>
          </w:tcPr>
          <w:p>
            <w:pPr>
              <w:spacing w:line="360" w:lineRule="auto"/>
              <w:jc w:val="center"/>
              <w:rPr>
                <w:rFonts w:asciiTheme="minorEastAsia" w:hAnsiTheme="minorEastAsia" w:cstheme="minorEastAsia"/>
                <w:sz w:val="24"/>
              </w:rPr>
            </w:pPr>
          </w:p>
        </w:tc>
        <w:tc>
          <w:tcPr>
            <w:tcW w:w="1020"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第3d</w:t>
            </w:r>
          </w:p>
        </w:tc>
        <w:tc>
          <w:tcPr>
            <w:tcW w:w="2231"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3.98±0.58*#</w:t>
            </w:r>
          </w:p>
        </w:tc>
        <w:tc>
          <w:tcPr>
            <w:tcW w:w="944"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9.22±2.67</w:t>
            </w:r>
          </w:p>
        </w:tc>
        <w:tc>
          <w:tcPr>
            <w:tcW w:w="1013"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62.18±6.54</w:t>
            </w:r>
          </w:p>
        </w:tc>
        <w:tc>
          <w:tcPr>
            <w:tcW w:w="1253"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7.46±1.49*&amp;#</w:t>
            </w:r>
          </w:p>
        </w:tc>
        <w:tc>
          <w:tcPr>
            <w:tcW w:w="1472"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209.31±25.16*&amp;#</w:t>
            </w:r>
          </w:p>
        </w:tc>
        <w:tc>
          <w:tcPr>
            <w:tcW w:w="2236" w:type="dxa"/>
            <w:tcBorders>
              <w:top w:val="nil"/>
              <w:left w:val="nil"/>
              <w:bottom w:val="nil"/>
              <w:right w:val="nil"/>
            </w:tcBorders>
          </w:tcPr>
          <w:p>
            <w:pPr>
              <w:spacing w:line="360" w:lineRule="auto"/>
              <w:jc w:val="center"/>
              <w:rPr>
                <w:rFonts w:hint="eastAsia" w:asciiTheme="minorEastAsia" w:hAnsiTheme="minorEastAsia" w:eastAsiaTheme="minorEastAsia" w:cstheme="minorEastAsia"/>
                <w:color w:val="FF0000"/>
                <w:sz w:val="24"/>
                <w:lang w:val="en-US" w:eastAsia="zh-CN"/>
              </w:rPr>
            </w:pPr>
            <w:r>
              <w:rPr>
                <w:rFonts w:hint="eastAsia" w:asciiTheme="minorEastAsia" w:hAnsiTheme="minorEastAsia" w:cstheme="minorEastAsia"/>
                <w:color w:val="FF0000"/>
                <w:sz w:val="24"/>
                <w:lang w:val="en-US" w:eastAsia="zh-CN"/>
              </w:rPr>
              <w:t>1.83</w:t>
            </w:r>
            <w:r>
              <w:rPr>
                <w:rFonts w:hint="eastAsia" w:asciiTheme="minorEastAsia" w:hAnsiTheme="minorEastAsia" w:cstheme="minorEastAsia"/>
                <w:color w:val="FF0000"/>
                <w:sz w:val="24"/>
              </w:rPr>
              <w:t>±</w:t>
            </w:r>
            <w:r>
              <w:rPr>
                <w:rFonts w:hint="eastAsia" w:asciiTheme="minorEastAsia" w:hAnsiTheme="minorEastAsia" w:cstheme="minorEastAsia"/>
                <w:color w:val="FF0000"/>
                <w:sz w:val="24"/>
                <w:lang w:val="en-US" w:eastAsia="zh-CN"/>
              </w:rPr>
              <w:t>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18"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死亡组</w:t>
            </w:r>
          </w:p>
        </w:tc>
        <w:tc>
          <w:tcPr>
            <w:tcW w:w="1020"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第1d</w:t>
            </w:r>
          </w:p>
        </w:tc>
        <w:tc>
          <w:tcPr>
            <w:tcW w:w="2231"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4.12±0.77</w:t>
            </w:r>
          </w:p>
        </w:tc>
        <w:tc>
          <w:tcPr>
            <w:tcW w:w="944"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9.81±3.07</w:t>
            </w:r>
          </w:p>
        </w:tc>
        <w:tc>
          <w:tcPr>
            <w:tcW w:w="1013"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58.19±8.13</w:t>
            </w:r>
          </w:p>
        </w:tc>
        <w:tc>
          <w:tcPr>
            <w:tcW w:w="1253"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13.76±2.21</w:t>
            </w:r>
          </w:p>
        </w:tc>
        <w:tc>
          <w:tcPr>
            <w:tcW w:w="1472"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148.54±18.13</w:t>
            </w:r>
          </w:p>
        </w:tc>
        <w:tc>
          <w:tcPr>
            <w:tcW w:w="2236" w:type="dxa"/>
            <w:tcBorders>
              <w:top w:val="nil"/>
              <w:left w:val="nil"/>
              <w:bottom w:val="nil"/>
              <w:right w:val="nil"/>
            </w:tcBorders>
          </w:tcPr>
          <w:p>
            <w:pPr>
              <w:spacing w:line="360" w:lineRule="auto"/>
              <w:jc w:val="center"/>
              <w:rPr>
                <w:rFonts w:hint="eastAsia" w:asciiTheme="minorEastAsia" w:hAnsiTheme="minorEastAsia" w:eastAsiaTheme="minorEastAsia" w:cstheme="minorEastAsia"/>
                <w:color w:val="FF0000"/>
                <w:sz w:val="24"/>
                <w:lang w:val="en-US" w:eastAsia="zh-CN"/>
              </w:rPr>
            </w:pPr>
            <w:r>
              <w:rPr>
                <w:rFonts w:hint="eastAsia" w:asciiTheme="minorEastAsia" w:hAnsiTheme="minorEastAsia" w:cstheme="minorEastAsia"/>
                <w:color w:val="FF0000"/>
                <w:sz w:val="24"/>
                <w:lang w:val="en-US" w:eastAsia="zh-CN"/>
              </w:rPr>
              <w:t>2.49</w:t>
            </w:r>
            <w:r>
              <w:rPr>
                <w:rFonts w:hint="eastAsia" w:asciiTheme="minorEastAsia" w:hAnsiTheme="minorEastAsia" w:cstheme="minorEastAsia"/>
                <w:color w:val="FF0000"/>
                <w:sz w:val="24"/>
              </w:rPr>
              <w:t>±</w:t>
            </w:r>
            <w:r>
              <w:rPr>
                <w:rFonts w:hint="eastAsia" w:asciiTheme="minorEastAsia" w:hAnsiTheme="minorEastAsia" w:cstheme="minorEastAsia"/>
                <w:color w:val="FF0000"/>
                <w:sz w:val="24"/>
                <w:lang w:val="en-US" w:eastAsia="zh-CN"/>
              </w:rPr>
              <w:t>0.68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18" w:type="dxa"/>
            <w:tcBorders>
              <w:top w:val="nil"/>
              <w:left w:val="nil"/>
              <w:bottom w:val="nil"/>
              <w:right w:val="nil"/>
            </w:tcBorders>
          </w:tcPr>
          <w:p>
            <w:pPr>
              <w:spacing w:line="360" w:lineRule="auto"/>
              <w:jc w:val="center"/>
              <w:rPr>
                <w:rFonts w:asciiTheme="minorEastAsia" w:hAnsiTheme="minorEastAsia" w:cstheme="minorEastAsia"/>
                <w:sz w:val="24"/>
              </w:rPr>
            </w:pPr>
          </w:p>
        </w:tc>
        <w:tc>
          <w:tcPr>
            <w:tcW w:w="1020"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第2d</w:t>
            </w:r>
          </w:p>
        </w:tc>
        <w:tc>
          <w:tcPr>
            <w:tcW w:w="2231"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5.49±4.83*</w:t>
            </w:r>
          </w:p>
        </w:tc>
        <w:tc>
          <w:tcPr>
            <w:tcW w:w="944"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9.19±3.12</w:t>
            </w:r>
          </w:p>
        </w:tc>
        <w:tc>
          <w:tcPr>
            <w:tcW w:w="1013"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57.36±9.12</w:t>
            </w:r>
          </w:p>
        </w:tc>
        <w:tc>
          <w:tcPr>
            <w:tcW w:w="1253"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15.16±2.67*</w:t>
            </w:r>
          </w:p>
        </w:tc>
        <w:tc>
          <w:tcPr>
            <w:tcW w:w="1472" w:type="dxa"/>
            <w:tcBorders>
              <w:top w:val="nil"/>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133.25±13.42*</w:t>
            </w:r>
          </w:p>
        </w:tc>
        <w:tc>
          <w:tcPr>
            <w:tcW w:w="2236" w:type="dxa"/>
            <w:tcBorders>
              <w:top w:val="nil"/>
              <w:left w:val="nil"/>
              <w:bottom w:val="nil"/>
              <w:right w:val="nil"/>
            </w:tcBorders>
          </w:tcPr>
          <w:p>
            <w:pPr>
              <w:spacing w:line="360" w:lineRule="auto"/>
              <w:jc w:val="center"/>
              <w:rPr>
                <w:rFonts w:hint="eastAsia" w:asciiTheme="minorEastAsia" w:hAnsiTheme="minorEastAsia" w:eastAsiaTheme="minorEastAsia" w:cstheme="minorEastAsia"/>
                <w:color w:val="FF0000"/>
                <w:sz w:val="24"/>
                <w:lang w:val="en-US" w:eastAsia="zh-CN"/>
              </w:rPr>
            </w:pPr>
            <w:r>
              <w:rPr>
                <w:rFonts w:hint="eastAsia" w:asciiTheme="minorEastAsia" w:hAnsiTheme="minorEastAsia" w:cstheme="minorEastAsia"/>
                <w:color w:val="FF0000"/>
                <w:sz w:val="24"/>
                <w:lang w:val="en-US" w:eastAsia="zh-CN"/>
              </w:rPr>
              <w:t>2.97</w:t>
            </w:r>
            <w:r>
              <w:rPr>
                <w:rFonts w:hint="eastAsia" w:asciiTheme="minorEastAsia" w:hAnsiTheme="minorEastAsia" w:cstheme="minorEastAsia"/>
                <w:color w:val="FF0000"/>
                <w:sz w:val="24"/>
              </w:rPr>
              <w:t>±</w:t>
            </w:r>
            <w:r>
              <w:rPr>
                <w:rFonts w:hint="eastAsia" w:asciiTheme="minorEastAsia" w:hAnsiTheme="minorEastAsia" w:cstheme="minorEastAsia"/>
                <w:color w:val="FF0000"/>
                <w:sz w:val="24"/>
                <w:lang w:val="en-US" w:eastAsia="zh-CN"/>
              </w:rPr>
              <w:t>0.72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18" w:type="dxa"/>
            <w:tcBorders>
              <w:top w:val="nil"/>
              <w:left w:val="nil"/>
              <w:right w:val="nil"/>
            </w:tcBorders>
          </w:tcPr>
          <w:p>
            <w:pPr>
              <w:spacing w:line="360" w:lineRule="auto"/>
              <w:jc w:val="center"/>
              <w:rPr>
                <w:rFonts w:asciiTheme="minorEastAsia" w:hAnsiTheme="minorEastAsia" w:cstheme="minorEastAsia"/>
                <w:sz w:val="24"/>
              </w:rPr>
            </w:pPr>
          </w:p>
        </w:tc>
        <w:tc>
          <w:tcPr>
            <w:tcW w:w="1020" w:type="dxa"/>
            <w:tcBorders>
              <w:top w:val="nil"/>
              <w:left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第3d</w:t>
            </w:r>
          </w:p>
        </w:tc>
        <w:tc>
          <w:tcPr>
            <w:tcW w:w="2231" w:type="dxa"/>
            <w:tcBorders>
              <w:top w:val="nil"/>
              <w:left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6.73±5.74*&amp;</w:t>
            </w:r>
          </w:p>
        </w:tc>
        <w:tc>
          <w:tcPr>
            <w:tcW w:w="944" w:type="dxa"/>
            <w:tcBorders>
              <w:top w:val="nil"/>
              <w:left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8.49±3.01</w:t>
            </w:r>
          </w:p>
        </w:tc>
        <w:tc>
          <w:tcPr>
            <w:tcW w:w="1013" w:type="dxa"/>
            <w:tcBorders>
              <w:top w:val="nil"/>
              <w:left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56.33±7.19</w:t>
            </w:r>
          </w:p>
        </w:tc>
        <w:tc>
          <w:tcPr>
            <w:tcW w:w="1253" w:type="dxa"/>
            <w:tcBorders>
              <w:top w:val="nil"/>
              <w:left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16.12±2.34*&amp;</w:t>
            </w:r>
          </w:p>
        </w:tc>
        <w:tc>
          <w:tcPr>
            <w:tcW w:w="1472" w:type="dxa"/>
            <w:tcBorders>
              <w:top w:val="nil"/>
              <w:left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123.12±10.32*&amp;</w:t>
            </w:r>
          </w:p>
        </w:tc>
        <w:tc>
          <w:tcPr>
            <w:tcW w:w="2236" w:type="dxa"/>
            <w:tcBorders>
              <w:top w:val="nil"/>
              <w:left w:val="nil"/>
              <w:right w:val="nil"/>
            </w:tcBorders>
          </w:tcPr>
          <w:p>
            <w:pPr>
              <w:spacing w:line="360" w:lineRule="auto"/>
              <w:jc w:val="center"/>
              <w:rPr>
                <w:rFonts w:hint="eastAsia" w:asciiTheme="minorEastAsia" w:hAnsiTheme="minorEastAsia" w:eastAsiaTheme="minorEastAsia" w:cstheme="minorEastAsia"/>
                <w:color w:val="FF0000"/>
                <w:sz w:val="24"/>
                <w:lang w:val="en-US" w:eastAsia="zh-CN"/>
              </w:rPr>
            </w:pPr>
            <w:r>
              <w:rPr>
                <w:rFonts w:hint="eastAsia" w:asciiTheme="minorEastAsia" w:hAnsiTheme="minorEastAsia" w:cstheme="minorEastAsia"/>
                <w:color w:val="FF0000"/>
                <w:sz w:val="24"/>
                <w:lang w:val="en-US" w:eastAsia="zh-CN"/>
              </w:rPr>
              <w:t>3.33</w:t>
            </w:r>
            <w:r>
              <w:rPr>
                <w:rFonts w:hint="eastAsia" w:asciiTheme="minorEastAsia" w:hAnsiTheme="minorEastAsia" w:cstheme="minorEastAsia"/>
                <w:color w:val="FF0000"/>
                <w:sz w:val="24"/>
              </w:rPr>
              <w:t>±</w:t>
            </w:r>
            <w:r>
              <w:rPr>
                <w:rFonts w:hint="eastAsia" w:asciiTheme="minorEastAsia" w:hAnsiTheme="minorEastAsia" w:cstheme="minorEastAsia"/>
                <w:color w:val="FF0000"/>
                <w:sz w:val="24"/>
                <w:lang w:val="en-US" w:eastAsia="zh-CN"/>
              </w:rPr>
              <w:t>0.91</w:t>
            </w:r>
          </w:p>
        </w:tc>
      </w:tr>
    </w:tbl>
    <w:p>
      <w:pPr>
        <w:spacing w:line="360" w:lineRule="auto"/>
        <w:rPr>
          <w:rFonts w:asciiTheme="minorEastAsia" w:hAnsiTheme="minorEastAsia" w:cstheme="minorEastAsia"/>
          <w:sz w:val="24"/>
        </w:rPr>
      </w:pPr>
      <w:r>
        <w:rPr>
          <w:rFonts w:hint="eastAsia" w:asciiTheme="minorEastAsia" w:hAnsiTheme="minorEastAsia" w:cstheme="minorEastAsia"/>
          <w:sz w:val="24"/>
        </w:rPr>
        <w:t>注：与同组第1d对比，*P&lt;0.05，与同组第2d对比，&amp;P&lt;0.05，与同时间死亡组对比#P&lt;0.05。</w:t>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2.3 EVLWI与氧合指数及CVP的相关性分析</w:t>
      </w:r>
    </w:p>
    <w:p>
      <w:pPr>
        <w:spacing w:line="360" w:lineRule="auto"/>
        <w:rPr>
          <w:rFonts w:asciiTheme="minorEastAsia" w:hAnsiTheme="minorEastAsia" w:cstheme="minorEastAsia"/>
          <w:sz w:val="24"/>
        </w:rPr>
      </w:pPr>
      <w:r>
        <w:rPr>
          <w:rFonts w:hint="eastAsia" w:asciiTheme="minorEastAsia" w:hAnsiTheme="minorEastAsia" w:cstheme="minorEastAsia"/>
          <w:sz w:val="24"/>
        </w:rPr>
        <w:t xml:space="preserve">    经Person相关性分析显示，EVLWI与氧合指数存在显著负相关关系，与CVP无相关性，见表（3）。</w:t>
      </w:r>
    </w:p>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表3 EVLWI与氧合指数及CVP的相关性</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Borders>
              <w:left w:val="nil"/>
              <w:bottom w:val="single" w:color="auto" w:sz="4" w:space="0"/>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指标</w:t>
            </w:r>
          </w:p>
        </w:tc>
        <w:tc>
          <w:tcPr>
            <w:tcW w:w="2841" w:type="dxa"/>
            <w:tcBorders>
              <w:left w:val="nil"/>
              <w:bottom w:val="single" w:color="auto" w:sz="4" w:space="0"/>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r</w:t>
            </w:r>
          </w:p>
        </w:tc>
        <w:tc>
          <w:tcPr>
            <w:tcW w:w="2841" w:type="dxa"/>
            <w:tcBorders>
              <w:left w:val="nil"/>
              <w:bottom w:val="single" w:color="auto" w:sz="4" w:space="0"/>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P</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氧合指数</w:t>
            </w:r>
          </w:p>
        </w:tc>
        <w:tc>
          <w:tcPr>
            <w:tcW w:w="2841"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-0.86</w:t>
            </w:r>
          </w:p>
        </w:tc>
        <w:tc>
          <w:tcPr>
            <w:tcW w:w="2841" w:type="dxa"/>
            <w:tcBorders>
              <w:top w:val="single" w:color="auto" w:sz="4" w:space="0"/>
              <w:left w:val="nil"/>
              <w:bottom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40" w:type="dxa"/>
            <w:tcBorders>
              <w:top w:val="nil"/>
              <w:left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CVP</w:t>
            </w:r>
          </w:p>
        </w:tc>
        <w:tc>
          <w:tcPr>
            <w:tcW w:w="2841" w:type="dxa"/>
            <w:tcBorders>
              <w:top w:val="nil"/>
              <w:left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-0.07</w:t>
            </w:r>
          </w:p>
        </w:tc>
        <w:tc>
          <w:tcPr>
            <w:tcW w:w="2841" w:type="dxa"/>
            <w:tcBorders>
              <w:top w:val="nil"/>
              <w:left w:val="nil"/>
              <w:right w:val="nil"/>
            </w:tcBorders>
          </w:tcPr>
          <w:p>
            <w:pPr>
              <w:spacing w:line="360" w:lineRule="auto"/>
              <w:jc w:val="center"/>
              <w:rPr>
                <w:rFonts w:asciiTheme="minorEastAsia" w:hAnsiTheme="minorEastAsia" w:cstheme="minorEastAsia"/>
                <w:sz w:val="24"/>
              </w:rPr>
            </w:pPr>
            <w:r>
              <w:rPr>
                <w:rFonts w:hint="eastAsia" w:asciiTheme="minorEastAsia" w:hAnsiTheme="minorEastAsia" w:cstheme="minorEastAsia"/>
                <w:sz w:val="24"/>
              </w:rPr>
              <w:t>0.256</w:t>
            </w:r>
          </w:p>
        </w:tc>
      </w:tr>
    </w:tbl>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 xml:space="preserve">3 讨论 </w:t>
      </w:r>
    </w:p>
    <w:p>
      <w:pPr>
        <w:spacing w:line="360" w:lineRule="auto"/>
        <w:rPr>
          <w:rFonts w:asciiTheme="minorEastAsia" w:hAnsiTheme="minorEastAsia" w:cstheme="minorEastAsia"/>
          <w:sz w:val="24"/>
        </w:rPr>
      </w:pPr>
      <w:r>
        <w:rPr>
          <w:rFonts w:hint="eastAsia" w:asciiTheme="minorEastAsia" w:hAnsiTheme="minorEastAsia" w:cstheme="minorEastAsia"/>
          <w:b/>
          <w:bCs/>
          <w:sz w:val="24"/>
        </w:rPr>
        <w:t xml:space="preserve">   </w:t>
      </w:r>
      <w:r>
        <w:rPr>
          <w:rFonts w:hint="eastAsia" w:asciiTheme="minorEastAsia" w:hAnsiTheme="minorEastAsia" w:cstheme="minorEastAsia"/>
          <w:sz w:val="24"/>
        </w:rPr>
        <w:t xml:space="preserve"> ARDS的主要是由于肺泡上皮细胞及肺毛细血管内皮细胞损伤导致肺泡水肿及弥漫性肺间质而引起的，临床主要表现为呼吸窘迫及进行性低氧血症，其主要发病机制是高通透性渗出性肺水肿，使得肺间质及肺泡内的液体增多，肺容积减少，进而出现严重的血流与通气的比例失调</w:t>
      </w:r>
      <w:r>
        <w:rPr>
          <w:rFonts w:hint="eastAsia" w:asciiTheme="minorEastAsia" w:hAnsiTheme="minorEastAsia" w:cstheme="minorEastAsia"/>
          <w:sz w:val="24"/>
          <w:vertAlign w:val="superscript"/>
        </w:rPr>
        <w:t>[5]</w:t>
      </w:r>
      <w:r>
        <w:rPr>
          <w:rFonts w:hint="eastAsia" w:asciiTheme="minorEastAsia" w:hAnsiTheme="minorEastAsia" w:cstheme="minorEastAsia"/>
          <w:sz w:val="24"/>
        </w:rPr>
        <w:t>。EVLWI增加是ARDS患者的重要病理特征，且EVLWI与肺血管内皮及肺泡上皮细胞损伤密切相关，随着EVLWI的水平升高，患者的肺损伤情况加重，当EVLWI水平升高大于正常值2倍时，则</w:t>
      </w:r>
      <w:r>
        <w:rPr>
          <w:rFonts w:hint="eastAsia" w:asciiTheme="minorEastAsia" w:hAnsiTheme="minorEastAsia" w:cstheme="minorEastAsia"/>
          <w:sz w:val="24"/>
          <w:lang w:eastAsia="zh-CN"/>
        </w:rPr>
        <w:t>使</w:t>
      </w:r>
      <w:r>
        <w:rPr>
          <w:rFonts w:hint="eastAsia" w:asciiTheme="minorEastAsia" w:hAnsiTheme="minorEastAsia" w:cstheme="minorEastAsia"/>
          <w:sz w:val="24"/>
        </w:rPr>
        <w:t>气体弥散及肺功能受到影响，并引发肺水肿，进而能够导致肺氧合指数呈静态顺应性降低</w:t>
      </w:r>
      <w:r>
        <w:rPr>
          <w:rFonts w:hint="eastAsia" w:asciiTheme="minorEastAsia" w:hAnsiTheme="minorEastAsia" w:cstheme="minorEastAsia"/>
          <w:sz w:val="24"/>
          <w:vertAlign w:val="superscript"/>
        </w:rPr>
        <w:t>[6]</w:t>
      </w:r>
      <w:r>
        <w:rPr>
          <w:rFonts w:hint="eastAsia" w:asciiTheme="minorEastAsia" w:hAnsiTheme="minorEastAsia" w:cstheme="minorEastAsia"/>
          <w:sz w:val="24"/>
        </w:rPr>
        <w:t>。因此，评估ARDS患者肺容量水平及呼吸功能对于判断病情发展及预后均有重要意义。</w:t>
      </w:r>
    </w:p>
    <w:p>
      <w:pPr>
        <w:spacing w:line="360" w:lineRule="auto"/>
        <w:ind w:firstLine="480"/>
        <w:rPr>
          <w:rFonts w:hint="eastAsia" w:asciiTheme="minorEastAsia" w:hAnsiTheme="minorEastAsia" w:cstheme="minorEastAsia"/>
          <w:sz w:val="24"/>
        </w:rPr>
      </w:pPr>
      <w:r>
        <w:rPr>
          <w:rFonts w:hint="eastAsia" w:asciiTheme="minorEastAsia" w:hAnsiTheme="minorEastAsia" w:cstheme="minorEastAsia"/>
          <w:sz w:val="24"/>
        </w:rPr>
        <w:t>在本次研究中对52例ARDS患者的CI、MAP及CVP进行72h的动态监测，结果显示，存活组患者</w:t>
      </w:r>
      <w:r>
        <w:rPr>
          <w:rFonts w:hint="eastAsia" w:asciiTheme="minorEastAsia" w:hAnsiTheme="minorEastAsia" w:cstheme="minorEastAsia"/>
          <w:color w:val="0000FF"/>
          <w:sz w:val="24"/>
          <w:highlight w:val="green"/>
          <w:lang w:eastAsia="zh-CN"/>
        </w:rPr>
        <w:t>与</w:t>
      </w:r>
      <w:r>
        <w:rPr>
          <w:rFonts w:hint="eastAsia" w:asciiTheme="minorEastAsia" w:hAnsiTheme="minorEastAsia" w:cstheme="minorEastAsia"/>
          <w:sz w:val="24"/>
        </w:rPr>
        <w:t>死亡组患者的CI、MAP及CVP指标组间对比无显著差异，提示CI、MAP及CVP判断ARDS患者预后具有较大的局限性。氧合指数是临床上用于判断ARDS患者肺损伤程度的重要指标，但是由于氧合指数的影响因素较大，例如吸入氧浓度、肺内分流率等</w:t>
      </w:r>
      <w:r>
        <w:rPr>
          <w:rFonts w:hint="eastAsia" w:asciiTheme="minorEastAsia" w:hAnsiTheme="minorEastAsia" w:cstheme="minorEastAsia"/>
          <w:sz w:val="24"/>
          <w:vertAlign w:val="superscript"/>
        </w:rPr>
        <w:t>[7]</w:t>
      </w:r>
      <w:r>
        <w:rPr>
          <w:rFonts w:hint="eastAsia" w:asciiTheme="minorEastAsia" w:hAnsiTheme="minorEastAsia" w:cstheme="minorEastAsia"/>
          <w:sz w:val="24"/>
        </w:rPr>
        <w:t>，此</w:t>
      </w:r>
      <w:bookmarkStart w:id="0" w:name="_GoBack"/>
      <w:bookmarkEnd w:id="0"/>
      <w:r>
        <w:rPr>
          <w:rFonts w:hint="eastAsia" w:asciiTheme="minorEastAsia" w:hAnsiTheme="minorEastAsia" w:cstheme="minorEastAsia"/>
          <w:sz w:val="24"/>
        </w:rPr>
        <w:t>外ARDS患者的低氧血症也可能是因除通透性水肿以外的因素所造成的，因此氧合指数并不能对ARDS的严重程度进行直接评估。EVLWI主要是指ARDS缓和肺血管外所分布的液体，其中包括细胞内液、肺泡内液和细胞间液，肺泡内液及细胞间液均可引发肺水肿</w:t>
      </w:r>
      <w:r>
        <w:rPr>
          <w:rFonts w:hint="eastAsia" w:asciiTheme="minorEastAsia" w:hAnsiTheme="minorEastAsia" w:cstheme="minorEastAsia"/>
          <w:sz w:val="24"/>
          <w:vertAlign w:val="superscript"/>
        </w:rPr>
        <w:t>[8]</w:t>
      </w:r>
      <w:r>
        <w:rPr>
          <w:rFonts w:hint="eastAsia" w:asciiTheme="minorEastAsia" w:hAnsiTheme="minorEastAsia" w:cstheme="minorEastAsia"/>
          <w:sz w:val="24"/>
        </w:rPr>
        <w:t>。EVLWI不受心输出量、肺不张、PEEP 水平的影响，能够直观的反应出ARDS患者的病情严重程度</w:t>
      </w:r>
      <w:r>
        <w:rPr>
          <w:rFonts w:hint="eastAsia" w:asciiTheme="minorEastAsia" w:hAnsiTheme="minorEastAsia" w:cstheme="minorEastAsia"/>
          <w:sz w:val="24"/>
          <w:vertAlign w:val="superscript"/>
        </w:rPr>
        <w:t>[9-10]</w:t>
      </w:r>
      <w:r>
        <w:rPr>
          <w:rFonts w:hint="eastAsia" w:asciiTheme="minorEastAsia" w:hAnsiTheme="minorEastAsia" w:cstheme="minorEastAsia"/>
          <w:sz w:val="24"/>
        </w:rPr>
        <w:t>。本次研究结果显示，存活组与死亡组患者第1d、2d、3d的EVLWI及氧合指数水平变化具有显著差异，存活组氧合指数随时间呈上升的趋势，EVLWI</w:t>
      </w:r>
      <w:r>
        <w:rPr>
          <w:rFonts w:hint="eastAsia" w:asciiTheme="minorEastAsia" w:hAnsiTheme="minorEastAsia" w:cstheme="minorEastAsia"/>
          <w:sz w:val="24"/>
          <w:lang w:eastAsia="zh-CN"/>
        </w:rPr>
        <w:t>、</w:t>
      </w:r>
      <w:r>
        <w:rPr>
          <w:rFonts w:hint="eastAsia" w:asciiTheme="minorEastAsia" w:hAnsiTheme="minorEastAsia" w:cstheme="minorEastAsia"/>
          <w:color w:val="FF0000"/>
          <w:sz w:val="24"/>
          <w:lang w:val="en-US" w:eastAsia="zh-CN"/>
        </w:rPr>
        <w:t>PVPI</w:t>
      </w:r>
      <w:r>
        <w:rPr>
          <w:rFonts w:hint="eastAsia" w:asciiTheme="minorEastAsia" w:hAnsiTheme="minorEastAsia" w:cstheme="minorEastAsia"/>
          <w:sz w:val="24"/>
        </w:rPr>
        <w:t>随时间呈下降趋势（P&lt;0.05），死亡组氧合指数随时间呈下降的趋势，EVLWI</w:t>
      </w:r>
      <w:r>
        <w:rPr>
          <w:rFonts w:hint="eastAsia" w:asciiTheme="minorEastAsia" w:hAnsiTheme="minorEastAsia" w:cstheme="minorEastAsia"/>
          <w:sz w:val="24"/>
          <w:lang w:eastAsia="zh-CN"/>
        </w:rPr>
        <w:t>、</w:t>
      </w:r>
      <w:r>
        <w:rPr>
          <w:rFonts w:hint="eastAsia" w:asciiTheme="minorEastAsia" w:hAnsiTheme="minorEastAsia" w:cstheme="minorEastAsia"/>
          <w:sz w:val="24"/>
        </w:rPr>
        <w:t>CI</w:t>
      </w:r>
      <w:r>
        <w:rPr>
          <w:rFonts w:hint="eastAsia" w:asciiTheme="minorEastAsia" w:hAnsiTheme="minorEastAsia" w:cstheme="minorEastAsia"/>
          <w:sz w:val="24"/>
          <w:lang w:eastAsia="zh-CN"/>
        </w:rPr>
        <w:t>、</w:t>
      </w:r>
      <w:r>
        <w:rPr>
          <w:rFonts w:hint="eastAsia" w:asciiTheme="minorEastAsia" w:hAnsiTheme="minorEastAsia" w:cstheme="minorEastAsia"/>
          <w:sz w:val="24"/>
          <w:lang w:val="en-US" w:eastAsia="zh-CN"/>
        </w:rPr>
        <w:t>PVPI</w:t>
      </w:r>
      <w:r>
        <w:rPr>
          <w:rFonts w:hint="eastAsia" w:asciiTheme="minorEastAsia" w:hAnsiTheme="minorEastAsia" w:cstheme="minorEastAsia"/>
          <w:sz w:val="24"/>
        </w:rPr>
        <w:t>随时间呈上升的趋势（P&lt;0.05），结果提示存活组患者的EVLWI随着时间下降，表明肺组织毛细血管的血管渗漏情况减轻，呼吸功能好转，肺组织缺氧状态得到缓解，进而使ARDS患者的病情好转，治疗具有有效性。死亡组患者的EVLWI随着时间呈上升趋势，氧合指数下降，说明呼吸功能恶化，肺组织缺氧情况加重，使多器官功能衰竭，进而导致患者死亡，提示需要及时更改治疗方案或者治疗无效。</w:t>
      </w:r>
    </w:p>
    <w:p>
      <w:pPr>
        <w:spacing w:line="360" w:lineRule="auto"/>
        <w:ind w:firstLine="480"/>
        <w:rPr>
          <w:rFonts w:asciiTheme="minorEastAsia" w:hAnsiTheme="minorEastAsia" w:cstheme="minorEastAsia"/>
          <w:color w:val="0000FF"/>
          <w:sz w:val="24"/>
          <w:highlight w:val="green"/>
        </w:rPr>
      </w:pPr>
      <w:r>
        <w:rPr>
          <w:rFonts w:hint="eastAsia" w:asciiTheme="minorEastAsia" w:hAnsiTheme="minorEastAsia" w:cstheme="minorEastAsia"/>
          <w:sz w:val="24"/>
        </w:rPr>
        <w:t>综上所述，动态监测氧合指数、EVLWI的变化对ARDS患者治疗指导及判断预后均具有重要价值，特别是可通过EVLWI的动态变化对ARDS患者的液体治疗进行指导，</w:t>
      </w:r>
      <w:r>
        <w:rPr>
          <w:rFonts w:hint="eastAsia" w:asciiTheme="minorEastAsia" w:hAnsiTheme="minorEastAsia" w:cstheme="minorEastAsia"/>
          <w:color w:val="0000FF"/>
          <w:sz w:val="24"/>
          <w:highlight w:val="green"/>
        </w:rPr>
        <w:t>改善患者肺组织缺氧状态。</w:t>
      </w:r>
    </w:p>
    <w:p>
      <w:pPr>
        <w:spacing w:line="360" w:lineRule="auto"/>
        <w:rPr>
          <w:rFonts w:asciiTheme="minorEastAsia" w:hAnsiTheme="minorEastAsia" w:cstheme="minorEastAsia"/>
          <w:b/>
          <w:bCs/>
          <w:sz w:val="24"/>
        </w:rPr>
      </w:pPr>
      <w:r>
        <w:rPr>
          <w:rFonts w:hint="eastAsia" w:asciiTheme="minorEastAsia" w:hAnsiTheme="minorEastAsia" w:cstheme="minorEastAsia"/>
          <w:b/>
          <w:bCs/>
          <w:sz w:val="24"/>
        </w:rPr>
        <w:t>参考文献</w:t>
      </w:r>
    </w:p>
    <w:p>
      <w:pPr>
        <w:spacing w:line="360" w:lineRule="auto"/>
        <w:rPr>
          <w:rFonts w:asciiTheme="minorEastAsia" w:hAnsiTheme="minorEastAsia" w:cstheme="minorEastAsia"/>
          <w:sz w:val="24"/>
        </w:rPr>
      </w:pPr>
      <w:r>
        <w:rPr>
          <w:rFonts w:hint="eastAsia" w:asciiTheme="minorEastAsia" w:hAnsiTheme="minorEastAsia" w:cstheme="minorEastAsia"/>
          <w:sz w:val="24"/>
        </w:rPr>
        <w:t>[1] 严 正,严 洁,王秋卉,等.肺血管通透性指数用于急性呼吸窘迫综合征患者的预后评估[J].中国临床保健杂志,2013,16(4):404-406.</w:t>
      </w:r>
    </w:p>
    <w:p>
      <w:pPr>
        <w:spacing w:line="360" w:lineRule="auto"/>
        <w:rPr>
          <w:rFonts w:asciiTheme="minorEastAsia" w:hAnsiTheme="minorEastAsia" w:cstheme="minorEastAsia"/>
          <w:sz w:val="24"/>
        </w:rPr>
      </w:pPr>
      <w:r>
        <w:rPr>
          <w:rFonts w:hint="eastAsia" w:asciiTheme="minorEastAsia" w:hAnsiTheme="minorEastAsia" w:cstheme="minorEastAsia"/>
          <w:sz w:val="24"/>
        </w:rPr>
        <w:t>[2] 李 宙,覃铁和,王首红,等.PiCCO 在ARDS 合并感染性休克的老年患者早期目标导向治疗中的应用[J].实用医学杂志,2012,28(14):2373-2375.</w:t>
      </w:r>
    </w:p>
    <w:p>
      <w:pPr>
        <w:spacing w:line="360" w:lineRule="auto"/>
        <w:rPr>
          <w:rFonts w:asciiTheme="minorEastAsia" w:hAnsiTheme="minorEastAsia" w:cstheme="minorEastAsia"/>
          <w:sz w:val="24"/>
        </w:rPr>
      </w:pPr>
      <w:r>
        <w:rPr>
          <w:rFonts w:hint="eastAsia" w:asciiTheme="minorEastAsia" w:hAnsiTheme="minorEastAsia" w:cstheme="minorEastAsia"/>
          <w:sz w:val="24"/>
        </w:rPr>
        <w:t>[3] 朱金源,王晓红,杨晓军.血管外肺水指数和肺血管通透性指数与急性呼吸窘迫综合征严重程度的相关性[J].中华医学杂志,2015,95(19):1463-1467.</w:t>
      </w:r>
    </w:p>
    <w:p>
      <w:pPr>
        <w:spacing w:line="360" w:lineRule="auto"/>
        <w:rPr>
          <w:rFonts w:asciiTheme="minorEastAsia" w:hAnsiTheme="minorEastAsia" w:cstheme="minorEastAsia"/>
          <w:sz w:val="24"/>
        </w:rPr>
      </w:pPr>
      <w:r>
        <w:rPr>
          <w:rFonts w:hint="eastAsia" w:asciiTheme="minorEastAsia" w:hAnsiTheme="minorEastAsia" w:cstheme="minorEastAsia"/>
          <w:sz w:val="24"/>
        </w:rPr>
        <w:t>[4] 胡 炜,刘长文,刘炳炜,等.血管外肺水在ARDS 患者液体管理中的应用价值探讨[J].医学研究杂志,2012,41(12):156-159.</w:t>
      </w:r>
    </w:p>
    <w:p>
      <w:pPr>
        <w:spacing w:line="360" w:lineRule="auto"/>
        <w:rPr>
          <w:rFonts w:asciiTheme="minorEastAsia" w:hAnsiTheme="minorEastAsia" w:cstheme="minorEastAsia"/>
          <w:sz w:val="24"/>
        </w:rPr>
      </w:pPr>
      <w:r>
        <w:rPr>
          <w:rFonts w:hint="eastAsia" w:asciiTheme="minorEastAsia" w:hAnsiTheme="minorEastAsia" w:cstheme="minorEastAsia"/>
          <w:sz w:val="24"/>
        </w:rPr>
        <w:t>[5] Pipeling MR,Fan E.Therapies for refractory hypoxemia in acute respiratory distress syndrome[J].JAMA,2010,304(22):2521-2527.</w:t>
      </w:r>
    </w:p>
    <w:p>
      <w:pPr>
        <w:spacing w:line="360" w:lineRule="auto"/>
        <w:rPr>
          <w:rFonts w:asciiTheme="minorEastAsia" w:hAnsiTheme="minorEastAsia" w:cstheme="minorEastAsia"/>
          <w:sz w:val="24"/>
        </w:rPr>
      </w:pPr>
      <w:r>
        <w:rPr>
          <w:rFonts w:hint="eastAsia" w:asciiTheme="minorEastAsia" w:hAnsiTheme="minorEastAsia" w:cstheme="minorEastAsia"/>
          <w:sz w:val="24"/>
        </w:rPr>
        <w:t>[6] 唐坎凯,温晓红,董朝晖,等.急性呼吸窘迫综合征患者血管外肺水指数动态变化与预后的关系[J].中华危重症医学杂志(电子版),2015,5(5):15-19.</w:t>
      </w:r>
    </w:p>
    <w:p>
      <w:pPr>
        <w:spacing w:line="360" w:lineRule="auto"/>
        <w:rPr>
          <w:rFonts w:asciiTheme="minorEastAsia" w:hAnsiTheme="minorEastAsia" w:cstheme="minorEastAsia"/>
          <w:sz w:val="24"/>
        </w:rPr>
      </w:pPr>
      <w:r>
        <w:rPr>
          <w:rFonts w:hint="eastAsia" w:asciiTheme="minorEastAsia" w:hAnsiTheme="minorEastAsia" w:cstheme="minorEastAsia"/>
          <w:sz w:val="24"/>
        </w:rPr>
        <w:t>[7] Nie C,Zeng ZG,Zuo W,et al.Study of changes in extravascular lung water index of patients suffered from H7N9avian influenza with acute respiratory distress syndrome[J].Zhonghua Wei Zhong Bing Ji Jiu Yi Xue,2013,25(8):460-462.</w:t>
      </w:r>
    </w:p>
    <w:p>
      <w:pPr>
        <w:spacing w:line="360" w:lineRule="auto"/>
        <w:rPr>
          <w:rFonts w:asciiTheme="minorEastAsia" w:hAnsiTheme="minorEastAsia" w:cstheme="minorEastAsia"/>
          <w:sz w:val="24"/>
        </w:rPr>
      </w:pPr>
      <w:r>
        <w:rPr>
          <w:rFonts w:hint="eastAsia" w:asciiTheme="minorEastAsia" w:hAnsiTheme="minorEastAsia" w:cstheme="minorEastAsia"/>
          <w:sz w:val="24"/>
        </w:rPr>
        <w:t>[8] 杨伟杰,王　黎.EVWLI在ARDS患者液体管理中的指导意义及对预后的评估价值[J].西部医学,2014,26(12):1678-1680.</w:t>
      </w:r>
    </w:p>
    <w:p>
      <w:pPr>
        <w:spacing w:line="360" w:lineRule="auto"/>
        <w:rPr>
          <w:rFonts w:asciiTheme="minorEastAsia" w:hAnsiTheme="minorEastAsia" w:cstheme="minorEastAsia"/>
          <w:sz w:val="24"/>
        </w:rPr>
      </w:pPr>
      <w:r>
        <w:rPr>
          <w:rFonts w:hint="eastAsia" w:asciiTheme="minorEastAsia" w:hAnsiTheme="minorEastAsia" w:cstheme="minorEastAsia"/>
          <w:sz w:val="24"/>
        </w:rPr>
        <w:t>[9] Chew MS,Ihrman L,During J,et al.Extravascular lung water index improves the diagnostic accuracy of lung injury in patients with shock[J].Crit Care,2012,16(1):R1.</w:t>
      </w:r>
    </w:p>
    <w:p>
      <w:pPr>
        <w:spacing w:line="360" w:lineRule="auto"/>
        <w:rPr>
          <w:rFonts w:asciiTheme="minorEastAsia" w:hAnsiTheme="minorEastAsia" w:cstheme="minorEastAsia"/>
          <w:sz w:val="24"/>
        </w:rPr>
      </w:pPr>
      <w:r>
        <w:rPr>
          <w:rFonts w:hint="eastAsia" w:asciiTheme="minorEastAsia" w:hAnsiTheme="minorEastAsia" w:cstheme="minorEastAsia"/>
          <w:sz w:val="24"/>
        </w:rPr>
        <w:t>[10] Tagami T,Sawabe M,Kushimoto S,et al.Quantitative diagnosis of diffuse alveolar damage using extravascular lung water[J].Crit Care Med,2013,41(9):2144-2150.</w:t>
      </w:r>
    </w:p>
    <w:p>
      <w:pPr>
        <w:spacing w:line="360" w:lineRule="auto"/>
        <w:rPr>
          <w:rFonts w:asciiTheme="minorEastAsia" w:hAnsiTheme="minorEastAsia" w:cstheme="minorEastAsia"/>
          <w:sz w:val="24"/>
        </w:rPr>
      </w:pPr>
    </w:p>
    <w:p>
      <w:pPr>
        <w:spacing w:line="360" w:lineRule="auto"/>
        <w:rPr>
          <w:rFonts w:asciiTheme="minorEastAsia" w:hAnsiTheme="minorEastAsia" w:cstheme="minorEastAsia"/>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altName w:val="MT Extra"/>
    <w:panose1 w:val="05000000000000000000"/>
    <w:charset w:val="02"/>
    <w:family w:val="auto"/>
    <w:pitch w:val="default"/>
    <w:sig w:usb0="00000000" w:usb1="00000000" w:usb2="00000000" w:usb3="00000000" w:csb0="80000000" w:csb1="00000000"/>
  </w:font>
  <w:font w:name="Arial">
    <w:altName w:val="Microsoft Sans Serif"/>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PMingLiU"/>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A00002EF" w:usb1="4000207B" w:usb2="00000000" w:usb3="00000000" w:csb0="2000009F" w:csb1="00000000"/>
  </w:font>
  <w:font w:name="ˎ̥">
    <w:altName w:val="微软雅黑"/>
    <w:panose1 w:val="00000000000000000000"/>
    <w:charset w:val="00"/>
    <w:family w:val="roman"/>
    <w:pitch w:val="default"/>
    <w:sig w:usb0="00000000" w:usb1="00000000" w:usb2="00000000" w:usb3="00000000" w:csb0="00040001" w:csb1="00000000"/>
  </w:font>
  <w:font w:name="Calibri Light">
    <w:altName w:val="Calibri"/>
    <w:panose1 w:val="00000000000000000000"/>
    <w:charset w:val="00"/>
    <w:family w:val="roman"/>
    <w:pitch w:val="default"/>
    <w:sig w:usb0="00000000" w:usb1="00000000" w:usb2="00000000" w:usb3="00000000" w:csb0="00000000" w:csb1="00000000"/>
  </w:font>
  <w:font w:name="微软雅黑">
    <w:panose1 w:val="020B0503020204020204"/>
    <w:charset w:val="86"/>
    <w:family w:val="auto"/>
    <w:pitch w:val="default"/>
    <w:sig w:usb0="80000287" w:usb1="2A0F3C52" w:usb2="00000016" w:usb3="00000000" w:csb0="0004001F" w:csb1="00000000"/>
  </w:font>
  <w:font w:name="MingLiU">
    <w:panose1 w:val="02020309000000000000"/>
    <w:charset w:val="88"/>
    <w:family w:val="auto"/>
    <w:pitch w:val="default"/>
    <w:sig w:usb0="00000003" w:usb1="082E0000" w:usb2="00000016" w:usb3="00000000" w:csb0="00100001" w:csb1="00000000"/>
  </w:font>
  <w:font w:name="MT Extra">
    <w:panose1 w:val="05050102010205020202"/>
    <w:charset w:val="00"/>
    <w:family w:val="auto"/>
    <w:pitch w:val="default"/>
    <w:sig w:usb0="80000000" w:usb1="00000000" w:usb2="00000000" w:usb3="00000000" w:csb0="00000000" w:csb1="00000000"/>
  </w:font>
  <w:font w:name="Microsoft Sans Serif">
    <w:panose1 w:val="020B0604020202020204"/>
    <w:charset w:val="00"/>
    <w:family w:val="auto"/>
    <w:pitch w:val="default"/>
    <w:sig w:usb0="61007BDF" w:usb1="80000000" w:usb2="00000008" w:usb3="00000000" w:csb0="200101FF" w:csb1="20280000"/>
  </w:font>
  <w:font w:name="PMingLiU">
    <w:panose1 w:val="02020300000000000000"/>
    <w:charset w:val="88"/>
    <w:family w:val="auto"/>
    <w:pitch w:val="default"/>
    <w:sig w:usb0="00000003" w:usb1="082E0000" w:usb2="00000016" w:usb3="00000000" w:csb0="00100001" w:csb1="00000000"/>
  </w:font>
  <w:font w:name="Microsoft Sans Serif">
    <w:panose1 w:val="020B0604020202020204"/>
    <w:charset w:val="01"/>
    <w:family w:val="swiss"/>
    <w:pitch w:val="default"/>
    <w:sig w:usb0="61007BDF" w:usb1="80000000" w:usb2="00000008"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172A27"/>
    <w:rsid w:val="00086953"/>
    <w:rsid w:val="0009762E"/>
    <w:rsid w:val="000A0DC7"/>
    <w:rsid w:val="00113C78"/>
    <w:rsid w:val="00172A27"/>
    <w:rsid w:val="001D772C"/>
    <w:rsid w:val="002324C6"/>
    <w:rsid w:val="00282E92"/>
    <w:rsid w:val="002A1D71"/>
    <w:rsid w:val="003C67BB"/>
    <w:rsid w:val="004450FF"/>
    <w:rsid w:val="00460344"/>
    <w:rsid w:val="00585B6A"/>
    <w:rsid w:val="00670762"/>
    <w:rsid w:val="006B2218"/>
    <w:rsid w:val="006C014A"/>
    <w:rsid w:val="007C65C6"/>
    <w:rsid w:val="00816C8E"/>
    <w:rsid w:val="00834FD8"/>
    <w:rsid w:val="008F1EAF"/>
    <w:rsid w:val="00903044"/>
    <w:rsid w:val="00914844"/>
    <w:rsid w:val="009937C1"/>
    <w:rsid w:val="00D87969"/>
    <w:rsid w:val="00D96ABF"/>
    <w:rsid w:val="00DD534E"/>
    <w:rsid w:val="00E12B77"/>
    <w:rsid w:val="00E20909"/>
    <w:rsid w:val="03122A32"/>
    <w:rsid w:val="06CA6B1B"/>
    <w:rsid w:val="06CE616A"/>
    <w:rsid w:val="07EE300B"/>
    <w:rsid w:val="10A32F0A"/>
    <w:rsid w:val="139618C1"/>
    <w:rsid w:val="189B7B63"/>
    <w:rsid w:val="19BC4CDF"/>
    <w:rsid w:val="2225028F"/>
    <w:rsid w:val="22591311"/>
    <w:rsid w:val="27D15961"/>
    <w:rsid w:val="2EB63A78"/>
    <w:rsid w:val="30D1680A"/>
    <w:rsid w:val="30EC0322"/>
    <w:rsid w:val="32287035"/>
    <w:rsid w:val="32756D63"/>
    <w:rsid w:val="3F9C0B6C"/>
    <w:rsid w:val="433C0271"/>
    <w:rsid w:val="462B1B32"/>
    <w:rsid w:val="48B04D53"/>
    <w:rsid w:val="53601CF9"/>
    <w:rsid w:val="5A375FE8"/>
    <w:rsid w:val="611674B3"/>
    <w:rsid w:val="62050E5A"/>
    <w:rsid w:val="65384EB5"/>
    <w:rsid w:val="6A7E7407"/>
    <w:rsid w:val="6C09395C"/>
    <w:rsid w:val="6E5063A2"/>
    <w:rsid w:val="6FF456CD"/>
    <w:rsid w:val="70A94D93"/>
    <w:rsid w:val="70D70BCE"/>
    <w:rsid w:val="76590D1A"/>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unhideWhenUsed/>
    <w:uiPriority w:val="1"/>
  </w:style>
  <w:style w:type="table" w:default="1" w:styleId="6">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iPriority w:val="0"/>
    <w:pPr>
      <w:tabs>
        <w:tab w:val="center" w:pos="4153"/>
        <w:tab w:val="right" w:pos="8306"/>
      </w:tabs>
      <w:snapToGrid w:val="0"/>
      <w:jc w:val="left"/>
    </w:pPr>
    <w:rPr>
      <w:sz w:val="18"/>
      <w:szCs w:val="18"/>
    </w:rPr>
  </w:style>
  <w:style w:type="paragraph" w:styleId="3">
    <w:name w:val="header"/>
    <w:basedOn w:val="1"/>
    <w:link w:val="8"/>
    <w:uiPriority w:val="0"/>
    <w:pPr>
      <w:pBdr>
        <w:bottom w:val="single" w:color="auto" w:sz="6" w:space="1"/>
      </w:pBdr>
      <w:tabs>
        <w:tab w:val="center" w:pos="4153"/>
        <w:tab w:val="right" w:pos="8306"/>
      </w:tabs>
      <w:snapToGrid w:val="0"/>
      <w:jc w:val="center"/>
    </w:pPr>
    <w:rPr>
      <w:sz w:val="18"/>
      <w:szCs w:val="18"/>
    </w:rPr>
  </w:style>
  <w:style w:type="character" w:styleId="5">
    <w:name w:val="Hyperlink"/>
    <w:basedOn w:val="4"/>
    <w:unhideWhenUsed/>
    <w:qFormat/>
    <w:uiPriority w:val="99"/>
    <w:rPr>
      <w:color w:val="0000FF"/>
      <w:u w:val="single"/>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8">
    <w:name w:val="页眉 Char"/>
    <w:basedOn w:val="4"/>
    <w:link w:val="3"/>
    <w:uiPriority w:val="0"/>
    <w:rPr>
      <w:kern w:val="2"/>
      <w:sz w:val="18"/>
      <w:szCs w:val="18"/>
    </w:rPr>
  </w:style>
  <w:style w:type="character" w:customStyle="1" w:styleId="9">
    <w:name w:val="页脚 Char"/>
    <w:basedOn w:val="4"/>
    <w:link w:val="2"/>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Pages>
  <Words>1117</Words>
  <Characters>6370</Characters>
  <Lines>53</Lines>
  <Paragraphs>14</Paragraphs>
  <ScaleCrop>false</ScaleCrop>
  <LinksUpToDate>false</LinksUpToDate>
  <CharactersWithSpaces>7473</CharactersWithSpaces>
  <Application>WPS Office_10.1.0.5866_F1E327BC-269C-435d-A152-05C5408002CA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2016-07-13T01:17:00Z</dcterms:created>
  <dc:creator>Administrator</dc:creator>
  <cp:lastModifiedBy>Administrator</cp:lastModifiedBy>
  <dcterms:modified xsi:type="dcterms:W3CDTF">2016-09-02T07:02:15Z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2052-10.1.0.5866</vt:lpwstr>
  </property>
</Properties>
</file>