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pPr>
        <w:autoSpaceDE w:val="0"/>
        <w:autoSpaceDN w:val="0"/>
        <w:adjustRightInd w:val="0"/>
        <w:jc w:val="left"/>
        <w:rPr>
          <w:rFonts w:hint="eastAsia" w:cs="FranklinGothic-Demi" w:asciiTheme="majorEastAsia" w:hAnsiTheme="majorEastAsia" w:eastAsiaTheme="majorEastAsia"/>
          <w:b/>
          <w:kern w:val="0"/>
          <w:sz w:val="24"/>
          <w:szCs w:val="24"/>
        </w:rPr>
      </w:pPr>
      <w:r>
        <w:rPr>
          <w:rFonts w:hint="eastAsia" w:cs="FranklinGothic-Demi" w:asciiTheme="majorEastAsia" w:hAnsiTheme="majorEastAsia" w:eastAsiaTheme="majorEastAsia"/>
          <w:b/>
          <w:kern w:val="0"/>
          <w:sz w:val="28"/>
          <w:szCs w:val="24"/>
          <w:lang w:val="en-US" w:eastAsia="zh-CN"/>
        </w:rPr>
        <w:t xml:space="preserve"> </w:t>
      </w:r>
      <w:r>
        <w:rPr>
          <w:rFonts w:hint="eastAsia" w:cs="FranklinGothic-Demi" w:asciiTheme="majorEastAsia" w:hAnsiTheme="majorEastAsia" w:eastAsiaTheme="majorEastAsia"/>
          <w:b/>
          <w:kern w:val="0"/>
          <w:sz w:val="28"/>
          <w:szCs w:val="24"/>
        </w:rPr>
        <w:t>重症肌无力患者胸腺切除术后发生肌无力危象的危险因素分析</w:t>
      </w:r>
    </w:p>
    <w:p>
      <w:pPr>
        <w:autoSpaceDE w:val="0"/>
        <w:autoSpaceDN w:val="0"/>
        <w:adjustRightInd w:val="0"/>
        <w:jc w:val="left"/>
        <w:rPr>
          <w:rFonts w:hint="eastAsia" w:cs="FranklinGothic-Demi" w:asciiTheme="majorEastAsia" w:hAnsiTheme="majorEastAsia" w:eastAsiaTheme="majorEastAsia"/>
          <w:b/>
          <w:kern w:val="0"/>
          <w:sz w:val="24"/>
          <w:szCs w:val="24"/>
        </w:rPr>
      </w:pPr>
    </w:p>
    <w:p>
      <w:pPr>
        <w:autoSpaceDE w:val="0"/>
        <w:autoSpaceDN w:val="0"/>
        <w:adjustRightInd w:val="0"/>
        <w:jc w:val="left"/>
        <w:rPr>
          <w:rFonts w:hint="eastAsia" w:cs="FranklinGothic-Demi" w:asciiTheme="majorEastAsia" w:hAnsiTheme="majorEastAsia" w:eastAsiaTheme="majorEastAsia"/>
          <w:kern w:val="0"/>
          <w:sz w:val="22"/>
          <w:szCs w:val="24"/>
        </w:rPr>
      </w:pPr>
      <w:r>
        <w:rPr>
          <w:rFonts w:hint="eastAsia" w:cs="FranklinGothic-Demi" w:asciiTheme="majorEastAsia" w:hAnsiTheme="majorEastAsia" w:eastAsiaTheme="majorEastAsia"/>
          <w:kern w:val="0"/>
          <w:sz w:val="22"/>
          <w:szCs w:val="24"/>
          <w:lang w:val="en-US" w:eastAsia="zh-CN"/>
        </w:rPr>
        <w:t xml:space="preserve">     </w:t>
      </w:r>
      <w:r>
        <w:rPr>
          <w:rFonts w:hint="eastAsia" w:cs="FranklinGothic-Demi" w:asciiTheme="majorEastAsia" w:hAnsiTheme="majorEastAsia" w:eastAsiaTheme="majorEastAsia"/>
          <w:kern w:val="0"/>
          <w:sz w:val="22"/>
          <w:szCs w:val="24"/>
        </w:rPr>
        <w:t>华中科技大学同济医学院附属同济医院 李瑾 尚珂</w:t>
      </w:r>
      <w:r>
        <w:rPr>
          <w:rFonts w:hint="eastAsia" w:cs="FranklinGothic-Demi" w:asciiTheme="majorEastAsia" w:hAnsiTheme="majorEastAsia" w:eastAsiaTheme="majorEastAsia"/>
          <w:kern w:val="0"/>
          <w:sz w:val="22"/>
          <w:szCs w:val="24"/>
          <w:vertAlign w:val="superscript"/>
        </w:rPr>
        <w:t>*</w:t>
      </w:r>
      <w:r>
        <w:rPr>
          <w:rFonts w:hint="eastAsia" w:cs="FranklinGothic-Demi" w:asciiTheme="majorEastAsia" w:hAnsiTheme="majorEastAsia" w:eastAsiaTheme="majorEastAsia"/>
          <w:kern w:val="0"/>
          <w:sz w:val="22"/>
          <w:szCs w:val="24"/>
        </w:rPr>
        <w:t>，武汉 430030</w:t>
      </w:r>
    </w:p>
    <w:p>
      <w:pPr>
        <w:autoSpaceDE w:val="0"/>
        <w:autoSpaceDN w:val="0"/>
        <w:adjustRightInd w:val="0"/>
        <w:jc w:val="left"/>
        <w:rPr>
          <w:rFonts w:cs="FranklinGothic-Demi" w:asciiTheme="majorEastAsia" w:hAnsiTheme="majorEastAsia" w:eastAsiaTheme="majorEastAsia"/>
          <w:b/>
          <w:kern w:val="0"/>
          <w:sz w:val="24"/>
          <w:szCs w:val="24"/>
        </w:rPr>
      </w:pPr>
    </w:p>
    <w:p>
      <w:pPr>
        <w:autoSpaceDE w:val="0"/>
        <w:autoSpaceDN w:val="0"/>
        <w:adjustRightInd w:val="0"/>
        <w:ind w:firstLine="482" w:firstLineChars="200"/>
        <w:jc w:val="left"/>
        <w:rPr>
          <w:rFonts w:cs="FranklinGothic-Demi" w:asciiTheme="majorEastAsia" w:hAnsiTheme="majorEastAsia" w:eastAsiaTheme="majorEastAsia"/>
          <w:b/>
          <w:kern w:val="0"/>
          <w:sz w:val="24"/>
          <w:szCs w:val="24"/>
        </w:rPr>
      </w:pPr>
      <w:r>
        <w:rPr>
          <w:rFonts w:hint="eastAsia" w:cs="FranklinGothic-Demi" w:asciiTheme="majorEastAsia" w:hAnsiTheme="majorEastAsia" w:eastAsiaTheme="majorEastAsia"/>
          <w:b/>
          <w:kern w:val="0"/>
          <w:sz w:val="24"/>
          <w:szCs w:val="24"/>
        </w:rPr>
        <w:t xml:space="preserve">摘要  </w:t>
      </w:r>
      <w:r>
        <w:rPr>
          <w:rFonts w:hint="eastAsia" w:cs="FranklinGothic-Demi" w:asciiTheme="majorEastAsia" w:hAnsiTheme="majorEastAsia" w:eastAsiaTheme="majorEastAsia"/>
          <w:kern w:val="0"/>
          <w:sz w:val="24"/>
          <w:szCs w:val="24"/>
        </w:rPr>
        <w:t>目的:回顾性分析研究重症肌无力患者胸腺切除术后发生肌无力危象的危险因素。方法:对本医院1970年-2011年实施的胸腺切除术的306例MG患者进行回顾分析，利用Logistic回归从多种相关因素（例如年龄、分型、术前术后处理、手术方式、预后等）中筛选出危险因素。结果:术后（半年内）发生肌无力危象与患者发病年龄、手术时间、病程、术前分型、术前是否累及吞咽肌、术前是否发生危象、是否确定为胸腺瘤相关，并且关系着患者的预后。结论:</w:t>
      </w:r>
      <w:r>
        <w:rPr>
          <w:rFonts w:hint="eastAsia" w:asciiTheme="majorEastAsia" w:hAnsiTheme="majorEastAsia" w:eastAsiaTheme="majorEastAsia"/>
          <w:sz w:val="24"/>
          <w:szCs w:val="24"/>
        </w:rPr>
        <w:t>术前吞咽肌受累、术前发生危象、确诊胸腺瘤是预测胸腺切除术后肌无力危象发生的独立危险因素。</w:t>
      </w:r>
    </w:p>
    <w:p>
      <w:pPr>
        <w:autoSpaceDE w:val="0"/>
        <w:autoSpaceDN w:val="0"/>
        <w:adjustRightInd w:val="0"/>
        <w:ind w:firstLine="482" w:firstLineChars="200"/>
        <w:jc w:val="left"/>
        <w:rPr>
          <w:rFonts w:asciiTheme="majorEastAsia" w:hAnsiTheme="majorEastAsia" w:eastAsiaTheme="majorEastAsia"/>
          <w:b/>
          <w:sz w:val="24"/>
          <w:szCs w:val="24"/>
        </w:rPr>
      </w:pPr>
      <w:r>
        <w:rPr>
          <w:rFonts w:hint="eastAsia" w:asciiTheme="majorEastAsia" w:hAnsiTheme="majorEastAsia" w:eastAsiaTheme="majorEastAsia"/>
          <w:b/>
          <w:sz w:val="24"/>
          <w:szCs w:val="24"/>
        </w:rPr>
        <w:t xml:space="preserve">关键词  </w:t>
      </w:r>
      <w:r>
        <w:rPr>
          <w:rFonts w:hint="eastAsia" w:asciiTheme="majorEastAsia" w:hAnsiTheme="majorEastAsia" w:eastAsiaTheme="majorEastAsia"/>
          <w:sz w:val="24"/>
          <w:szCs w:val="24"/>
        </w:rPr>
        <w:t>重症肌无力 胸腺切除术 危险因素 术后肌无力危象</w:t>
      </w:r>
    </w:p>
    <w:p>
      <w:pPr>
        <w:autoSpaceDE w:val="0"/>
        <w:autoSpaceDN w:val="0"/>
        <w:adjustRightInd w:val="0"/>
        <w:jc w:val="left"/>
        <w:rPr>
          <w:rFonts w:asciiTheme="majorEastAsia" w:hAnsiTheme="majorEastAsia" w:eastAsiaTheme="majorEastAsia"/>
          <w:b/>
          <w:sz w:val="24"/>
          <w:szCs w:val="24"/>
        </w:rPr>
      </w:pPr>
      <w:r>
        <w:rPr>
          <w:rFonts w:hint="eastAsia" w:cs="FranklinGothic-Demi" w:asciiTheme="majorEastAsia" w:hAnsiTheme="majorEastAsia" w:eastAsiaTheme="majorEastAsia"/>
          <w:kern w:val="0"/>
          <w:sz w:val="24"/>
          <w:szCs w:val="24"/>
        </w:rPr>
        <w:t xml:space="preserve">  </w:t>
      </w:r>
      <w:r>
        <w:rPr>
          <w:rFonts w:hint="eastAsia" w:cs="FranklinGothic-Demi" w:asciiTheme="majorEastAsia" w:hAnsiTheme="majorEastAsia" w:eastAsiaTheme="majorEastAsia"/>
          <w:b/>
          <w:kern w:val="0"/>
          <w:sz w:val="24"/>
          <w:szCs w:val="24"/>
        </w:rPr>
        <w:t xml:space="preserve">                                                          </w:t>
      </w:r>
    </w:p>
    <w:p>
      <w:pPr>
        <w:autoSpaceDE w:val="0"/>
        <w:autoSpaceDN w:val="0"/>
        <w:adjustRightInd w:val="0"/>
        <w:jc w:val="left"/>
        <w:rPr>
          <w:rFonts w:cs="FranklinGothic-Demi" w:asciiTheme="majorEastAsia" w:hAnsiTheme="majorEastAsia" w:eastAsiaTheme="majorEastAsia"/>
          <w:b/>
          <w:kern w:val="0"/>
          <w:sz w:val="24"/>
          <w:szCs w:val="24"/>
        </w:rPr>
        <w:sectPr>
          <w:pgSz w:w="11906" w:h="16838"/>
          <w:pgMar w:top="1440" w:right="1800" w:bottom="1440" w:left="1800" w:header="851" w:footer="992" w:gutter="0"/>
          <w:cols w:space="425" w:num="1"/>
          <w:docGrid w:type="lines" w:linePitch="312" w:charSpace="0"/>
        </w:sectPr>
      </w:pPr>
    </w:p>
    <w:p>
      <w:pPr>
        <w:autoSpaceDE w:val="0"/>
        <w:autoSpaceDN w:val="0"/>
        <w:adjustRightInd w:val="0"/>
        <w:ind w:firstLine="480" w:firstLineChars="200"/>
        <w:jc w:val="left"/>
        <w:rPr>
          <w:rFonts w:cs="FranklinGothic-Demi" w:asciiTheme="majorEastAsia" w:hAnsiTheme="majorEastAsia" w:eastAsiaTheme="majorEastAsia"/>
          <w:b/>
          <w:kern w:val="0"/>
          <w:sz w:val="24"/>
          <w:szCs w:val="24"/>
        </w:rPr>
      </w:pPr>
      <w:r>
        <w:rPr>
          <w:rFonts w:hint="eastAsia" w:cs="FranklinGothic-Demi" w:asciiTheme="majorEastAsia" w:hAnsiTheme="majorEastAsia" w:eastAsiaTheme="majorEastAsia"/>
          <w:kern w:val="0"/>
          <w:sz w:val="24"/>
          <w:szCs w:val="24"/>
        </w:rPr>
        <w:t>重症肌无力(Myasthenic Gravis,MG)是一种主要由抗乙酰胆碱受体的抗体作用于神经肌肉接头突出后膜，介导乙酰胆碱受体</w:t>
      </w:r>
      <w:r>
        <w:rPr>
          <w:rFonts w:cs="FranklinGothic-Demi" w:asciiTheme="majorEastAsia" w:hAnsiTheme="majorEastAsia" w:eastAsiaTheme="majorEastAsia"/>
          <w:kern w:val="0"/>
          <w:sz w:val="24"/>
          <w:szCs w:val="24"/>
        </w:rPr>
        <w:t>AChRs失去</w:t>
      </w:r>
      <w:r>
        <w:rPr>
          <w:rFonts w:hint="eastAsia" w:cs="FranklinGothic-Demi" w:asciiTheme="majorEastAsia" w:hAnsiTheme="majorEastAsia" w:eastAsiaTheme="majorEastAsia"/>
          <w:kern w:val="0"/>
          <w:sz w:val="24"/>
          <w:szCs w:val="24"/>
        </w:rPr>
        <w:t>传导作用，</w:t>
      </w:r>
      <w:r>
        <w:rPr>
          <w:rFonts w:cs="FranklinGothic-Demi" w:asciiTheme="majorEastAsia" w:hAnsiTheme="majorEastAsia" w:eastAsiaTheme="majorEastAsia"/>
          <w:kern w:val="0"/>
          <w:sz w:val="24"/>
          <w:szCs w:val="24"/>
        </w:rPr>
        <w:t>从而导致肌肉疲劳无力的自身免疫疾病</w:t>
      </w:r>
      <w:r>
        <w:rPr>
          <w:rFonts w:hint="eastAsia" w:cs="FranklinGothic-Demi" w:asciiTheme="majorEastAsia" w:hAnsiTheme="majorEastAsia" w:eastAsiaTheme="majorEastAsia"/>
          <w:kern w:val="0"/>
          <w:sz w:val="24"/>
          <w:szCs w:val="24"/>
        </w:rPr>
        <w:t>。少数患者可能存在抗</w:t>
      </w:r>
      <w:r>
        <w:rPr>
          <w:rFonts w:cs="FranklinGothic-Demi" w:asciiTheme="majorEastAsia" w:hAnsiTheme="majorEastAsia" w:eastAsiaTheme="majorEastAsia"/>
          <w:kern w:val="0"/>
          <w:sz w:val="24"/>
          <w:szCs w:val="24"/>
        </w:rPr>
        <w:t>MuSK抗体介导的</w:t>
      </w:r>
      <w:r>
        <w:rPr>
          <w:rFonts w:hint="eastAsia" w:cs="FranklinGothic-Demi" w:asciiTheme="majorEastAsia" w:hAnsiTheme="majorEastAsia" w:eastAsiaTheme="majorEastAsia"/>
          <w:kern w:val="0"/>
          <w:sz w:val="24"/>
          <w:szCs w:val="24"/>
        </w:rPr>
        <w:t>重症肌无力。目前常用的治疗手段包括胆碱酯酶抑制剂、免疫抑制治疗、血浆置换、丙种球蛋白及胸腺扩大切除手术</w:t>
      </w:r>
      <w:r>
        <w:rPr>
          <w:rFonts w:cs="FranklinGothic-Demi" w:asciiTheme="majorEastAsia" w:hAnsiTheme="majorEastAsia" w:eastAsiaTheme="majorEastAsia"/>
          <w:kern w:val="0"/>
          <w:sz w:val="24"/>
          <w:szCs w:val="24"/>
        </w:rPr>
        <w:fldChar w:fldCharType="begin"/>
      </w:r>
      <w:r>
        <w:rPr>
          <w:rFonts w:cs="FranklinGothic-Demi" w:asciiTheme="majorEastAsia" w:hAnsiTheme="majorEastAsia" w:eastAsiaTheme="majorEastAsia"/>
          <w:kern w:val="0"/>
          <w:sz w:val="24"/>
          <w:szCs w:val="24"/>
        </w:rPr>
        <w:instrText xml:space="preserve"> ADDIN NE.Ref.{412250B5-CBD5-436A-B774-365EEB3A087C}</w:instrText>
      </w:r>
      <w:r>
        <w:rPr>
          <w:rFonts w:cs="FranklinGothic-Demi" w:asciiTheme="majorEastAsia" w:hAnsiTheme="majorEastAsia" w:eastAsiaTheme="majorEastAsia"/>
          <w:kern w:val="0"/>
          <w:sz w:val="24"/>
          <w:szCs w:val="24"/>
        </w:rPr>
        <w:fldChar w:fldCharType="end"/>
      </w:r>
      <w:r>
        <w:rPr>
          <w:rFonts w:ascii="宋体" w:eastAsia="宋体" w:cs="宋体"/>
          <w:color w:val="080000"/>
          <w:kern w:val="0"/>
          <w:sz w:val="24"/>
          <w:szCs w:val="24"/>
          <w:vertAlign w:val="superscript"/>
        </w:rPr>
        <w:t>[1]</w:t>
      </w:r>
      <w:r>
        <w:rPr>
          <w:rFonts w:hint="eastAsia" w:cs="FranklinGothic-Demi" w:asciiTheme="majorEastAsia" w:hAnsiTheme="majorEastAsia" w:eastAsiaTheme="majorEastAsia"/>
          <w:kern w:val="0"/>
          <w:sz w:val="24"/>
          <w:szCs w:val="24"/>
        </w:rPr>
        <w:t>。在合并胸腺增生或胸腺瘤的全身型MG患者中，胸腺切除术是在病情控制稳定时的首选方法，效果要优于单纯药物治疗的患者</w:t>
      </w:r>
      <w:r>
        <w:rPr>
          <w:rFonts w:cs="FranklinGothic-Demi" w:asciiTheme="majorEastAsia" w:hAnsiTheme="majorEastAsia" w:eastAsiaTheme="majorEastAsia"/>
          <w:kern w:val="0"/>
          <w:sz w:val="24"/>
          <w:szCs w:val="24"/>
        </w:rPr>
        <w:fldChar w:fldCharType="begin"/>
      </w:r>
      <w:r>
        <w:rPr>
          <w:rFonts w:cs="FranklinGothic-Demi" w:asciiTheme="majorEastAsia" w:hAnsiTheme="majorEastAsia" w:eastAsiaTheme="majorEastAsia"/>
          <w:kern w:val="0"/>
          <w:sz w:val="24"/>
          <w:szCs w:val="24"/>
        </w:rPr>
        <w:instrText xml:space="preserve"> ADDIN NE.Ref.{C936CCA9-9A84-4270-A017-6AFCC517CEA7}</w:instrText>
      </w:r>
      <w:r>
        <w:rPr>
          <w:rFonts w:cs="FranklinGothic-Demi" w:asciiTheme="majorEastAsia" w:hAnsiTheme="majorEastAsia" w:eastAsiaTheme="majorEastAsia"/>
          <w:kern w:val="0"/>
          <w:sz w:val="24"/>
          <w:szCs w:val="24"/>
        </w:rPr>
        <w:fldChar w:fldCharType="separate"/>
      </w:r>
      <w:r>
        <w:rPr>
          <w:rFonts w:ascii="宋体" w:eastAsia="宋体" w:cs="宋体"/>
          <w:color w:val="080000"/>
          <w:kern w:val="0"/>
          <w:sz w:val="24"/>
          <w:szCs w:val="24"/>
          <w:vertAlign w:val="superscript"/>
        </w:rPr>
        <w:t>[2, 3]</w:t>
      </w:r>
      <w:r>
        <w:rPr>
          <w:rFonts w:cs="FranklinGothic-Demi" w:asciiTheme="majorEastAsia" w:hAnsiTheme="majorEastAsia" w:eastAsiaTheme="majorEastAsia"/>
          <w:kern w:val="0"/>
          <w:sz w:val="24"/>
          <w:szCs w:val="24"/>
        </w:rPr>
        <w:fldChar w:fldCharType="end"/>
      </w:r>
      <w:r>
        <w:rPr>
          <w:rFonts w:hint="eastAsia" w:cs="FranklinGothic-Demi" w:asciiTheme="majorEastAsia" w:hAnsiTheme="majorEastAsia" w:eastAsiaTheme="majorEastAsia"/>
          <w:kern w:val="0"/>
          <w:sz w:val="24"/>
          <w:szCs w:val="24"/>
        </w:rPr>
        <w:t>。肌无力危象(Myasthenic Crisis,MC)是MG在临床上最为危急的并发症之一，主要表现为累及吞咽肌引起呼吸衰竭，严重时需要气管插管等人工辅助呼吸。约有1/5-1/3全身型MG的患者可以发生肌无力危象</w:t>
      </w:r>
      <w:r>
        <w:rPr>
          <w:rFonts w:cs="FranklinGothic-Demi" w:asciiTheme="majorEastAsia" w:hAnsiTheme="majorEastAsia" w:eastAsiaTheme="majorEastAsia"/>
          <w:kern w:val="0"/>
          <w:sz w:val="24"/>
          <w:szCs w:val="24"/>
        </w:rPr>
        <w:fldChar w:fldCharType="begin"/>
      </w:r>
      <w:r>
        <w:rPr>
          <w:rFonts w:cs="FranklinGothic-Demi" w:asciiTheme="majorEastAsia" w:hAnsiTheme="majorEastAsia" w:eastAsiaTheme="majorEastAsia"/>
          <w:kern w:val="0"/>
          <w:sz w:val="24"/>
          <w:szCs w:val="24"/>
        </w:rPr>
        <w:instrText xml:space="preserve"> ADDIN NE.Ref.{66B3C310-DE2B-4E0A-972E-0C985C8775DB}</w:instrText>
      </w:r>
      <w:r>
        <w:rPr>
          <w:rFonts w:cs="FranklinGothic-Demi" w:asciiTheme="majorEastAsia" w:hAnsiTheme="majorEastAsia" w:eastAsiaTheme="majorEastAsia"/>
          <w:kern w:val="0"/>
          <w:sz w:val="24"/>
          <w:szCs w:val="24"/>
        </w:rPr>
        <w:fldChar w:fldCharType="separate"/>
      </w:r>
      <w:r>
        <w:rPr>
          <w:rFonts w:ascii="宋体" w:eastAsia="宋体" w:cs="宋体"/>
          <w:color w:val="080000"/>
          <w:kern w:val="0"/>
          <w:sz w:val="24"/>
          <w:szCs w:val="24"/>
          <w:vertAlign w:val="superscript"/>
        </w:rPr>
        <w:t>[4]</w:t>
      </w:r>
      <w:r>
        <w:rPr>
          <w:rFonts w:cs="FranklinGothic-Demi" w:asciiTheme="majorEastAsia" w:hAnsiTheme="majorEastAsia" w:eastAsiaTheme="majorEastAsia"/>
          <w:kern w:val="0"/>
          <w:sz w:val="24"/>
          <w:szCs w:val="24"/>
        </w:rPr>
        <w:fldChar w:fldCharType="end"/>
      </w:r>
      <w:r>
        <w:rPr>
          <w:rFonts w:hint="eastAsia" w:cs="FranklinGothic-Demi" w:asciiTheme="majorEastAsia" w:hAnsiTheme="majorEastAsia" w:eastAsiaTheme="majorEastAsia"/>
          <w:kern w:val="0"/>
          <w:sz w:val="24"/>
          <w:szCs w:val="24"/>
        </w:rPr>
        <w:t>。同时它还是胸腺切除术后常见的并发症(术后肌无力危象 Postoperative Myasthenic Crisis,PMC)，会增加病人的死亡风险、延长住院时间和增多花费</w:t>
      </w:r>
      <w:r>
        <w:rPr>
          <w:rFonts w:cs="FranklinGothic-Demi" w:asciiTheme="majorEastAsia" w:hAnsiTheme="majorEastAsia" w:eastAsiaTheme="majorEastAsia"/>
          <w:kern w:val="0"/>
          <w:sz w:val="24"/>
          <w:szCs w:val="24"/>
        </w:rPr>
        <w:fldChar w:fldCharType="begin"/>
      </w:r>
      <w:r>
        <w:rPr>
          <w:rFonts w:cs="FranklinGothic-Demi" w:asciiTheme="majorEastAsia" w:hAnsiTheme="majorEastAsia" w:eastAsiaTheme="majorEastAsia"/>
          <w:kern w:val="0"/>
          <w:sz w:val="24"/>
          <w:szCs w:val="24"/>
        </w:rPr>
        <w:instrText xml:space="preserve"> ADDIN NE.Ref.{674B67B7-B742-4307-A766-E29F77623FFD}</w:instrText>
      </w:r>
      <w:r>
        <w:rPr>
          <w:rFonts w:cs="FranklinGothic-Demi" w:asciiTheme="majorEastAsia" w:hAnsiTheme="majorEastAsia" w:eastAsiaTheme="majorEastAsia"/>
          <w:kern w:val="0"/>
          <w:sz w:val="24"/>
          <w:szCs w:val="24"/>
        </w:rPr>
        <w:fldChar w:fldCharType="separate"/>
      </w:r>
      <w:r>
        <w:rPr>
          <w:rFonts w:ascii="宋体" w:eastAsia="宋体" w:cs="宋体"/>
          <w:color w:val="080000"/>
          <w:kern w:val="0"/>
          <w:sz w:val="24"/>
          <w:szCs w:val="24"/>
          <w:vertAlign w:val="superscript"/>
        </w:rPr>
        <w:t>[5, 6]</w:t>
      </w:r>
      <w:r>
        <w:rPr>
          <w:rFonts w:cs="FranklinGothic-Demi" w:asciiTheme="majorEastAsia" w:hAnsiTheme="majorEastAsia" w:eastAsiaTheme="majorEastAsia"/>
          <w:kern w:val="0"/>
          <w:sz w:val="24"/>
          <w:szCs w:val="24"/>
        </w:rPr>
        <w:fldChar w:fldCharType="end"/>
      </w:r>
      <w:r>
        <w:rPr>
          <w:rFonts w:hint="eastAsia" w:cs="FranklinGothic-Demi" w:asciiTheme="majorEastAsia" w:hAnsiTheme="majorEastAsia" w:eastAsiaTheme="majorEastAsia"/>
          <w:kern w:val="0"/>
          <w:sz w:val="24"/>
          <w:szCs w:val="24"/>
        </w:rPr>
        <w:t>。因此通过研究PMC的相关危险因素来预测其发生的倾向性，对于评估手术效果和预防发生危象是非常有帮助的。我们对我们医院1970年5月-2011年5月实施的胸腺切除术的306例MG患者进行了回顾分析，系统分析了PMC的危险因素，提出了有统计学意义的预测因子，现报道如下。</w:t>
      </w:r>
    </w:p>
    <w:p>
      <w:pPr>
        <w:autoSpaceDE w:val="0"/>
        <w:autoSpaceDN w:val="0"/>
        <w:adjustRightInd w:val="0"/>
        <w:jc w:val="left"/>
        <w:rPr>
          <w:rFonts w:cs="FranklinGothic-Demi" w:asciiTheme="majorEastAsia" w:hAnsiTheme="majorEastAsia" w:eastAsiaTheme="majorEastAsia"/>
          <w:kern w:val="0"/>
          <w:sz w:val="24"/>
          <w:szCs w:val="24"/>
        </w:rPr>
      </w:pPr>
    </w:p>
    <w:p>
      <w:pPr>
        <w:autoSpaceDE w:val="0"/>
        <w:autoSpaceDN w:val="0"/>
        <w:adjustRightInd w:val="0"/>
        <w:jc w:val="left"/>
        <w:rPr>
          <w:rFonts w:cs="FranklinGothic-Demi" w:asciiTheme="majorEastAsia" w:hAnsiTheme="majorEastAsia" w:eastAsiaTheme="majorEastAsia"/>
          <w:b/>
          <w:kern w:val="0"/>
          <w:sz w:val="24"/>
          <w:szCs w:val="24"/>
        </w:rPr>
      </w:pPr>
      <w:r>
        <w:rPr>
          <w:rFonts w:hint="eastAsia" w:cs="FranklinGothic-Demi" w:asciiTheme="majorEastAsia" w:hAnsiTheme="majorEastAsia" w:eastAsiaTheme="majorEastAsia"/>
          <w:b/>
          <w:kern w:val="0"/>
          <w:sz w:val="24"/>
          <w:szCs w:val="24"/>
        </w:rPr>
        <w:t>对象与方法</w:t>
      </w:r>
    </w:p>
    <w:p>
      <w:pPr>
        <w:autoSpaceDE w:val="0"/>
        <w:autoSpaceDN w:val="0"/>
        <w:adjustRightInd w:val="0"/>
        <w:ind w:firstLine="480" w:firstLineChars="200"/>
        <w:jc w:val="left"/>
        <w:rPr>
          <w:rFonts w:cs="FranklinGothic-Demi" w:asciiTheme="majorEastAsia" w:hAnsiTheme="majorEastAsia" w:eastAsiaTheme="majorEastAsia"/>
          <w:kern w:val="0"/>
          <w:sz w:val="24"/>
          <w:szCs w:val="24"/>
        </w:rPr>
      </w:pPr>
      <w:r>
        <w:rPr>
          <w:rFonts w:hint="eastAsia" w:cs="FranklinGothic-Demi" w:asciiTheme="majorEastAsia" w:hAnsiTheme="majorEastAsia" w:eastAsiaTheme="majorEastAsia"/>
          <w:kern w:val="0"/>
          <w:sz w:val="24"/>
          <w:szCs w:val="24"/>
        </w:rPr>
        <w:t>该研究回顾性地分析了武汉同济医院1970年5月至2011年5月期间的306名实施了胸腺切除术的确诊MG患者（包括眼肌型和全身型），以得出PMC的相关危险因素。</w:t>
      </w:r>
      <w:bookmarkStart w:id="26" w:name="_GoBack"/>
      <w:r>
        <w:rPr>
          <w:rFonts w:hint="eastAsia" w:cs="FranklinGothic-Demi" w:asciiTheme="majorEastAsia" w:hAnsiTheme="majorEastAsia" w:eastAsiaTheme="majorEastAsia"/>
          <w:color w:val="FF0000"/>
          <w:kern w:val="0"/>
          <w:sz w:val="24"/>
          <w:szCs w:val="24"/>
        </w:rPr>
        <w:t>已剔除该随访时</w:t>
      </w:r>
      <w:bookmarkEnd w:id="26"/>
      <w:r>
        <w:rPr>
          <w:rFonts w:hint="eastAsia" w:cs="FranklinGothic-Demi" w:asciiTheme="majorEastAsia" w:hAnsiTheme="majorEastAsia" w:eastAsiaTheme="majorEastAsia"/>
          <w:color w:val="FF0000"/>
          <w:kern w:val="0"/>
          <w:sz w:val="24"/>
          <w:szCs w:val="24"/>
        </w:rPr>
        <w:t>间内脱失或结局不明的患者。</w:t>
      </w:r>
      <w:r>
        <w:rPr>
          <w:rFonts w:hint="eastAsia" w:cs="FranklinGothic-Demi" w:asciiTheme="majorEastAsia" w:hAnsiTheme="majorEastAsia" w:eastAsiaTheme="majorEastAsia"/>
          <w:kern w:val="0"/>
          <w:sz w:val="24"/>
          <w:szCs w:val="24"/>
        </w:rPr>
        <w:t>这些MG患者的确诊主要凭借以下三个证据：1、受累肌肉疲劳和无力症状的波动性；2、重复频率电刺激试验阳性；3、新斯的明试验阳性。采用MGFA临床分型对MG患者病情严重程度及预后进行分类。术后发生肌无力危象的患者已排除心肺功能衰竭、胆碱能危象、膈神经麻痹等其他原因所致的呼吸衰竭。所有MG患者常规进行胸部CT或MRI检查以确定是否有胸腺增生或胸腺瘤，对于合并胸腺异常或者未合并胸腺异常的全身型MG患者进行胸腺切除术，采用的术式包括前胸正中切口和胸腔镜手术，术后对切除的胸腺组织进行病理分型。部分侵袭性胸腺瘤患者在术后接受了放疗或化疗（硫唑嘌呤或他克莫司）。</w:t>
      </w:r>
    </w:p>
    <w:p>
      <w:pPr>
        <w:autoSpaceDE w:val="0"/>
        <w:autoSpaceDN w:val="0"/>
        <w:adjustRightInd w:val="0"/>
        <w:ind w:firstLine="480" w:firstLineChars="200"/>
        <w:jc w:val="left"/>
        <w:rPr>
          <w:rFonts w:cs="FranklinGothic-Demi" w:asciiTheme="majorEastAsia" w:hAnsiTheme="majorEastAsia" w:eastAsiaTheme="majorEastAsia"/>
          <w:kern w:val="0"/>
          <w:sz w:val="24"/>
          <w:szCs w:val="24"/>
        </w:rPr>
      </w:pPr>
      <w:r>
        <w:rPr>
          <w:rFonts w:hint="eastAsia" w:cs="FranklinGothic-Demi" w:asciiTheme="majorEastAsia" w:hAnsiTheme="majorEastAsia" w:eastAsiaTheme="majorEastAsia"/>
          <w:kern w:val="0"/>
          <w:sz w:val="24"/>
          <w:szCs w:val="24"/>
        </w:rPr>
        <w:t>将患者按照是否发生PMC分为两组，观察的指标包括：性别，发病年龄，手术年龄，病程（起病距手术时间），术前分型，是否有术前危象，术前</w:t>
      </w:r>
      <w:bookmarkStart w:id="0" w:name="OLE_LINK1"/>
      <w:bookmarkStart w:id="1" w:name="OLE_LINK2"/>
      <w:r>
        <w:rPr>
          <w:rFonts w:hint="eastAsia" w:cs="FranklinGothic-Demi" w:asciiTheme="majorEastAsia" w:hAnsiTheme="majorEastAsia" w:eastAsiaTheme="majorEastAsia"/>
          <w:kern w:val="0"/>
          <w:sz w:val="24"/>
          <w:szCs w:val="24"/>
        </w:rPr>
        <w:t>激素、吡斯的明、免疫抑制剂用量，</w:t>
      </w:r>
      <w:bookmarkEnd w:id="0"/>
      <w:bookmarkEnd w:id="1"/>
      <w:r>
        <w:rPr>
          <w:rFonts w:hint="eastAsia" w:cs="FranklinGothic-Demi" w:asciiTheme="majorEastAsia" w:hAnsiTheme="majorEastAsia" w:eastAsiaTheme="majorEastAsia"/>
          <w:kern w:val="0"/>
          <w:sz w:val="24"/>
          <w:szCs w:val="24"/>
        </w:rPr>
        <w:t>术后激素、吡斯的明、免疫抑制剂用量，手术方式，是否确诊胸腺瘤，预后（缓解、改善、无变化、恶化、死亡），随访时间。</w:t>
      </w:r>
    </w:p>
    <w:p>
      <w:pPr>
        <w:autoSpaceDE w:val="0"/>
        <w:autoSpaceDN w:val="0"/>
        <w:adjustRightInd w:val="0"/>
        <w:ind w:firstLine="480" w:firstLineChars="200"/>
        <w:jc w:val="left"/>
        <w:rPr>
          <w:rFonts w:cs="FranklinGothic-Demi" w:asciiTheme="majorEastAsia" w:hAnsiTheme="majorEastAsia" w:eastAsiaTheme="majorEastAsia"/>
          <w:kern w:val="0"/>
          <w:sz w:val="24"/>
          <w:szCs w:val="24"/>
        </w:rPr>
      </w:pPr>
      <w:r>
        <w:rPr>
          <w:rFonts w:hint="eastAsia" w:cs="FranklinGothic-Demi" w:asciiTheme="majorEastAsia" w:hAnsiTheme="majorEastAsia" w:eastAsiaTheme="majorEastAsia"/>
          <w:kern w:val="0"/>
          <w:sz w:val="24"/>
          <w:szCs w:val="24"/>
        </w:rPr>
        <w:t>所有数据通过软件SPSS 20.0进行统计分析。连续变量以平均值±误差表示，采用t检验分析；分类变量采用卡方检验或Fisher</w:t>
      </w:r>
      <w:r>
        <w:rPr>
          <w:rFonts w:cs="FranklinGothic-Demi" w:asciiTheme="majorEastAsia" w:hAnsiTheme="majorEastAsia" w:eastAsiaTheme="majorEastAsia"/>
          <w:kern w:val="0"/>
          <w:sz w:val="24"/>
          <w:szCs w:val="24"/>
        </w:rPr>
        <w:t>’</w:t>
      </w:r>
      <w:r>
        <w:rPr>
          <w:rFonts w:hint="eastAsia" w:cs="FranklinGothic-Demi" w:asciiTheme="majorEastAsia" w:hAnsiTheme="majorEastAsia" w:eastAsiaTheme="majorEastAsia"/>
          <w:kern w:val="0"/>
          <w:sz w:val="24"/>
          <w:szCs w:val="24"/>
        </w:rPr>
        <w:t>s检验；采用单因素和多因素Logistic回归分析相关的危险因素。</w:t>
      </w:r>
    </w:p>
    <w:p>
      <w:pPr>
        <w:autoSpaceDE w:val="0"/>
        <w:autoSpaceDN w:val="0"/>
        <w:adjustRightInd w:val="0"/>
        <w:jc w:val="left"/>
        <w:rPr>
          <w:rFonts w:cs="FranklinGothic-Demi" w:asciiTheme="majorEastAsia" w:hAnsiTheme="majorEastAsia" w:eastAsiaTheme="majorEastAsia"/>
          <w:kern w:val="0"/>
          <w:sz w:val="24"/>
          <w:szCs w:val="24"/>
        </w:rPr>
      </w:pPr>
    </w:p>
    <w:p>
      <w:pPr>
        <w:autoSpaceDE w:val="0"/>
        <w:autoSpaceDN w:val="0"/>
        <w:adjustRightInd w:val="0"/>
        <w:jc w:val="left"/>
        <w:rPr>
          <w:rFonts w:cs="FranklinGothic-Demi" w:asciiTheme="majorEastAsia" w:hAnsiTheme="majorEastAsia" w:eastAsiaTheme="majorEastAsia"/>
          <w:b/>
          <w:kern w:val="0"/>
          <w:sz w:val="24"/>
          <w:szCs w:val="24"/>
        </w:rPr>
      </w:pPr>
      <w:r>
        <w:rPr>
          <w:rFonts w:cs="FranklinGothic-Demi" w:asciiTheme="majorEastAsia" w:hAnsiTheme="majorEastAsia" w:eastAsiaTheme="majorEastAsia"/>
          <w:b/>
          <w:kern w:val="0"/>
          <w:sz w:val="24"/>
          <w:szCs w:val="24"/>
        </w:rPr>
        <w:t>表</w:t>
      </w:r>
      <w:r>
        <w:rPr>
          <w:rFonts w:hint="eastAsia" w:cs="FranklinGothic-Demi" w:asciiTheme="majorEastAsia" w:hAnsiTheme="majorEastAsia" w:eastAsiaTheme="majorEastAsia"/>
          <w:b/>
          <w:kern w:val="0"/>
          <w:sz w:val="24"/>
          <w:szCs w:val="24"/>
        </w:rPr>
        <w:t>1</w:t>
      </w:r>
    </w:p>
    <w:tbl>
      <w:tblPr>
        <w:tblStyle w:val="7"/>
        <w:tblW w:w="4156" w:type="dxa"/>
        <w:tblInd w:w="0" w:type="dxa"/>
        <w:tblBorders>
          <w:top w:val="single" w:color="auto" w:sz="4" w:space="0"/>
          <w:left w:val="none" w:color="auto" w:sz="0" w:space="0"/>
          <w:bottom w:val="single" w:color="auto" w:sz="4"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2135"/>
        <w:gridCol w:w="2021"/>
      </w:tblGrid>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2135" w:type="dxa"/>
            <w:tcBorders>
              <w:top w:val="single" w:color="auto" w:sz="4" w:space="0"/>
              <w:bottom w:val="single" w:color="auto" w:sz="4" w:space="0"/>
            </w:tcBorders>
          </w:tcPr>
          <w:p>
            <w:pPr>
              <w:rPr>
                <w:sz w:val="15"/>
                <w:szCs w:val="18"/>
              </w:rPr>
            </w:pPr>
            <w:bookmarkStart w:id="2" w:name="OLE_LINK8"/>
          </w:p>
        </w:tc>
        <w:tc>
          <w:tcPr>
            <w:tcW w:w="2021" w:type="dxa"/>
            <w:tcBorders>
              <w:top w:val="single" w:color="auto" w:sz="4" w:space="0"/>
              <w:bottom w:val="single" w:color="auto" w:sz="4" w:space="0"/>
            </w:tcBorders>
          </w:tcPr>
          <w:p>
            <w:pPr>
              <w:jc w:val="center"/>
              <w:rPr>
                <w:sz w:val="15"/>
                <w:szCs w:val="18"/>
              </w:rPr>
            </w:pPr>
            <w:r>
              <w:rPr>
                <w:rFonts w:hint="eastAsia" w:ascii="宋体" w:hAnsi="宋体" w:eastAsia="宋体" w:cs="宋体"/>
                <w:sz w:val="15"/>
                <w:szCs w:val="18"/>
              </w:rPr>
              <w:t>全体进行了胸腺切除术的</w:t>
            </w:r>
            <w:r>
              <w:rPr>
                <w:sz w:val="15"/>
                <w:szCs w:val="18"/>
              </w:rPr>
              <w:t>MG</w:t>
            </w:r>
            <w:r>
              <w:rPr>
                <w:rFonts w:hint="eastAsia" w:ascii="宋体" w:hAnsi="宋体" w:eastAsia="宋体" w:cs="宋体"/>
                <w:sz w:val="15"/>
                <w:szCs w:val="18"/>
              </w:rPr>
              <w:t>患者</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2135" w:type="dxa"/>
            <w:tcBorders>
              <w:top w:val="single" w:color="auto" w:sz="4" w:space="0"/>
            </w:tcBorders>
          </w:tcPr>
          <w:p>
            <w:pPr>
              <w:rPr>
                <w:sz w:val="15"/>
                <w:szCs w:val="18"/>
              </w:rPr>
            </w:pPr>
            <w:r>
              <w:rPr>
                <w:rFonts w:hint="eastAsia" w:ascii="宋体" w:hAnsi="宋体" w:eastAsia="宋体" w:cs="宋体"/>
                <w:sz w:val="15"/>
                <w:szCs w:val="18"/>
              </w:rPr>
              <w:t>病人数量</w:t>
            </w:r>
          </w:p>
        </w:tc>
        <w:tc>
          <w:tcPr>
            <w:tcW w:w="2021" w:type="dxa"/>
            <w:tcBorders>
              <w:top w:val="single" w:color="auto" w:sz="4" w:space="0"/>
            </w:tcBorders>
          </w:tcPr>
          <w:p>
            <w:pPr>
              <w:jc w:val="center"/>
              <w:rPr>
                <w:sz w:val="15"/>
                <w:szCs w:val="18"/>
              </w:rPr>
            </w:pPr>
            <w:r>
              <w:rPr>
                <w:sz w:val="15"/>
                <w:szCs w:val="18"/>
              </w:rPr>
              <w:t>306</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2135" w:type="dxa"/>
          </w:tcPr>
          <w:p>
            <w:pPr>
              <w:rPr>
                <w:sz w:val="15"/>
                <w:szCs w:val="18"/>
              </w:rPr>
            </w:pPr>
            <w:r>
              <w:rPr>
                <w:rFonts w:hint="eastAsia" w:ascii="宋体" w:hAnsi="宋体" w:eastAsia="宋体" w:cs="宋体"/>
                <w:sz w:val="15"/>
                <w:szCs w:val="18"/>
              </w:rPr>
              <w:t>性别（男</w:t>
            </w:r>
            <w:r>
              <w:rPr>
                <w:sz w:val="15"/>
                <w:szCs w:val="18"/>
              </w:rPr>
              <w:t>:</w:t>
            </w:r>
            <w:r>
              <w:rPr>
                <w:rFonts w:hint="eastAsia" w:ascii="宋体" w:hAnsi="宋体" w:eastAsia="宋体" w:cs="宋体"/>
                <w:sz w:val="15"/>
                <w:szCs w:val="18"/>
              </w:rPr>
              <w:t>女）</w:t>
            </w:r>
          </w:p>
        </w:tc>
        <w:tc>
          <w:tcPr>
            <w:tcW w:w="2021" w:type="dxa"/>
          </w:tcPr>
          <w:p>
            <w:pPr>
              <w:jc w:val="center"/>
              <w:rPr>
                <w:sz w:val="15"/>
                <w:szCs w:val="18"/>
              </w:rPr>
            </w:pPr>
            <w:r>
              <w:rPr>
                <w:sz w:val="15"/>
                <w:szCs w:val="18"/>
              </w:rPr>
              <w:t>155:151</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2135" w:type="dxa"/>
          </w:tcPr>
          <w:p>
            <w:pPr>
              <w:rPr>
                <w:sz w:val="15"/>
                <w:szCs w:val="18"/>
              </w:rPr>
            </w:pPr>
            <w:r>
              <w:rPr>
                <w:rFonts w:hint="eastAsia" w:ascii="宋体" w:hAnsi="宋体" w:eastAsia="宋体" w:cs="宋体"/>
                <w:sz w:val="15"/>
                <w:szCs w:val="18"/>
              </w:rPr>
              <w:t>发病年龄（岁）（均值）</w:t>
            </w:r>
          </w:p>
        </w:tc>
        <w:tc>
          <w:tcPr>
            <w:tcW w:w="2021" w:type="dxa"/>
          </w:tcPr>
          <w:p>
            <w:pPr>
              <w:jc w:val="center"/>
              <w:rPr>
                <w:sz w:val="15"/>
                <w:szCs w:val="18"/>
              </w:rPr>
            </w:pPr>
            <w:r>
              <w:rPr>
                <w:sz w:val="15"/>
                <w:szCs w:val="18"/>
              </w:rPr>
              <w:t>34.16</w:t>
            </w:r>
            <w:r>
              <w:rPr>
                <w:rFonts w:hint="eastAsia"/>
                <w:sz w:val="15"/>
                <w:szCs w:val="18"/>
              </w:rPr>
              <w:t>±</w:t>
            </w:r>
            <w:r>
              <w:rPr>
                <w:sz w:val="15"/>
                <w:szCs w:val="18"/>
              </w:rPr>
              <w:t>14.74</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2135" w:type="dxa"/>
          </w:tcPr>
          <w:p>
            <w:pPr>
              <w:rPr>
                <w:sz w:val="15"/>
                <w:szCs w:val="18"/>
              </w:rPr>
            </w:pPr>
            <w:r>
              <w:rPr>
                <w:rFonts w:hint="eastAsia" w:ascii="宋体" w:hAnsi="宋体" w:eastAsia="宋体" w:cs="宋体"/>
                <w:sz w:val="15"/>
                <w:szCs w:val="18"/>
              </w:rPr>
              <w:t>手术年龄（岁）（均值）</w:t>
            </w:r>
          </w:p>
        </w:tc>
        <w:tc>
          <w:tcPr>
            <w:tcW w:w="2021" w:type="dxa"/>
          </w:tcPr>
          <w:p>
            <w:pPr>
              <w:jc w:val="center"/>
              <w:rPr>
                <w:sz w:val="15"/>
                <w:szCs w:val="18"/>
              </w:rPr>
            </w:pPr>
            <w:r>
              <w:rPr>
                <w:sz w:val="15"/>
                <w:szCs w:val="18"/>
              </w:rPr>
              <w:t>31.54</w:t>
            </w:r>
            <w:r>
              <w:rPr>
                <w:rFonts w:hint="eastAsia"/>
                <w:sz w:val="15"/>
                <w:szCs w:val="18"/>
              </w:rPr>
              <w:t>±</w:t>
            </w:r>
            <w:r>
              <w:rPr>
                <w:sz w:val="15"/>
                <w:szCs w:val="18"/>
              </w:rPr>
              <w:t>16.37</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2135" w:type="dxa"/>
          </w:tcPr>
          <w:p>
            <w:pPr>
              <w:rPr>
                <w:sz w:val="15"/>
                <w:szCs w:val="18"/>
              </w:rPr>
            </w:pPr>
            <w:r>
              <w:rPr>
                <w:rFonts w:hint="eastAsia" w:ascii="宋体" w:hAnsi="宋体" w:eastAsia="宋体" w:cs="宋体"/>
                <w:sz w:val="15"/>
                <w:szCs w:val="18"/>
              </w:rPr>
              <w:t>发病与手术的间隔时间（月）（均值）</w:t>
            </w:r>
          </w:p>
        </w:tc>
        <w:tc>
          <w:tcPr>
            <w:tcW w:w="2021" w:type="dxa"/>
          </w:tcPr>
          <w:p>
            <w:pPr>
              <w:jc w:val="center"/>
              <w:rPr>
                <w:sz w:val="15"/>
                <w:szCs w:val="18"/>
              </w:rPr>
            </w:pPr>
            <w:r>
              <w:rPr>
                <w:sz w:val="15"/>
                <w:szCs w:val="18"/>
              </w:rPr>
              <w:t>33.43</w:t>
            </w:r>
            <w:r>
              <w:rPr>
                <w:rFonts w:hint="eastAsia"/>
                <w:sz w:val="15"/>
                <w:szCs w:val="18"/>
              </w:rPr>
              <w:t>±</w:t>
            </w:r>
            <w:r>
              <w:rPr>
                <w:sz w:val="15"/>
                <w:szCs w:val="18"/>
              </w:rPr>
              <w:t>51.12</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2135" w:type="dxa"/>
          </w:tcPr>
          <w:p>
            <w:pPr>
              <w:rPr>
                <w:sz w:val="15"/>
                <w:szCs w:val="18"/>
              </w:rPr>
            </w:pPr>
            <w:r>
              <w:rPr>
                <w:rFonts w:hint="eastAsia" w:ascii="宋体" w:hAnsi="宋体" w:eastAsia="宋体" w:cs="宋体"/>
                <w:sz w:val="15"/>
                <w:szCs w:val="18"/>
              </w:rPr>
              <w:t>术前</w:t>
            </w:r>
            <w:r>
              <w:rPr>
                <w:sz w:val="15"/>
                <w:szCs w:val="18"/>
              </w:rPr>
              <w:t>MGFA</w:t>
            </w:r>
            <w:r>
              <w:rPr>
                <w:rFonts w:hint="eastAsia" w:ascii="宋体" w:hAnsi="宋体" w:eastAsia="宋体" w:cs="宋体"/>
                <w:sz w:val="15"/>
                <w:szCs w:val="18"/>
              </w:rPr>
              <w:t>分型</w:t>
            </w:r>
          </w:p>
        </w:tc>
        <w:tc>
          <w:tcPr>
            <w:tcW w:w="2021" w:type="dxa"/>
          </w:tcPr>
          <w:p>
            <w:pPr>
              <w:jc w:val="center"/>
              <w:rPr>
                <w:sz w:val="15"/>
                <w:szCs w:val="18"/>
              </w:rPr>
            </w:pP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2135" w:type="dxa"/>
          </w:tcPr>
          <w:p>
            <w:pPr>
              <w:ind w:left="210" w:leftChars="100"/>
              <w:rPr>
                <w:sz w:val="15"/>
                <w:szCs w:val="18"/>
              </w:rPr>
            </w:pPr>
            <w:r>
              <w:rPr>
                <w:sz w:val="15"/>
                <w:szCs w:val="18"/>
              </w:rPr>
              <w:t>I</w:t>
            </w:r>
          </w:p>
        </w:tc>
        <w:tc>
          <w:tcPr>
            <w:tcW w:w="2021" w:type="dxa"/>
          </w:tcPr>
          <w:p>
            <w:pPr>
              <w:jc w:val="center"/>
              <w:rPr>
                <w:sz w:val="15"/>
                <w:szCs w:val="18"/>
              </w:rPr>
            </w:pPr>
            <w:r>
              <w:rPr>
                <w:sz w:val="15"/>
                <w:szCs w:val="18"/>
              </w:rPr>
              <w:t>116</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2135" w:type="dxa"/>
          </w:tcPr>
          <w:p>
            <w:pPr>
              <w:ind w:left="210" w:leftChars="100"/>
              <w:rPr>
                <w:sz w:val="15"/>
                <w:szCs w:val="18"/>
              </w:rPr>
            </w:pPr>
            <w:r>
              <w:rPr>
                <w:sz w:val="15"/>
                <w:szCs w:val="18"/>
              </w:rPr>
              <w:t>II</w:t>
            </w:r>
          </w:p>
        </w:tc>
        <w:tc>
          <w:tcPr>
            <w:tcW w:w="2021" w:type="dxa"/>
          </w:tcPr>
          <w:p>
            <w:pPr>
              <w:jc w:val="center"/>
              <w:rPr>
                <w:sz w:val="15"/>
                <w:szCs w:val="18"/>
              </w:rPr>
            </w:pPr>
            <w:r>
              <w:rPr>
                <w:sz w:val="15"/>
                <w:szCs w:val="18"/>
              </w:rPr>
              <w:t>117(IIA:IIB = 46:71)</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2135" w:type="dxa"/>
          </w:tcPr>
          <w:p>
            <w:pPr>
              <w:ind w:left="210" w:leftChars="100"/>
              <w:rPr>
                <w:sz w:val="15"/>
                <w:szCs w:val="18"/>
              </w:rPr>
            </w:pPr>
            <w:r>
              <w:rPr>
                <w:sz w:val="15"/>
                <w:szCs w:val="18"/>
              </w:rPr>
              <w:t>III</w:t>
            </w:r>
          </w:p>
        </w:tc>
        <w:tc>
          <w:tcPr>
            <w:tcW w:w="2021" w:type="dxa"/>
          </w:tcPr>
          <w:p>
            <w:pPr>
              <w:jc w:val="center"/>
              <w:rPr>
                <w:sz w:val="15"/>
                <w:szCs w:val="18"/>
              </w:rPr>
            </w:pPr>
            <w:r>
              <w:rPr>
                <w:sz w:val="15"/>
                <w:szCs w:val="18"/>
              </w:rPr>
              <w:t>53(IIIA:IIIB = 4:49)</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2135" w:type="dxa"/>
          </w:tcPr>
          <w:p>
            <w:pPr>
              <w:ind w:left="210" w:leftChars="100"/>
              <w:rPr>
                <w:sz w:val="15"/>
                <w:szCs w:val="18"/>
              </w:rPr>
            </w:pPr>
            <w:r>
              <w:rPr>
                <w:sz w:val="15"/>
                <w:szCs w:val="18"/>
              </w:rPr>
              <w:t>IV</w:t>
            </w:r>
          </w:p>
        </w:tc>
        <w:tc>
          <w:tcPr>
            <w:tcW w:w="2021" w:type="dxa"/>
          </w:tcPr>
          <w:p>
            <w:pPr>
              <w:jc w:val="center"/>
              <w:rPr>
                <w:sz w:val="15"/>
                <w:szCs w:val="18"/>
              </w:rPr>
            </w:pPr>
            <w:r>
              <w:rPr>
                <w:sz w:val="15"/>
                <w:szCs w:val="18"/>
              </w:rPr>
              <w:t>3(IVB = 3)</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2135" w:type="dxa"/>
          </w:tcPr>
          <w:p>
            <w:pPr>
              <w:ind w:left="210" w:leftChars="100"/>
              <w:rPr>
                <w:sz w:val="15"/>
                <w:szCs w:val="18"/>
              </w:rPr>
            </w:pPr>
            <w:r>
              <w:rPr>
                <w:sz w:val="15"/>
                <w:szCs w:val="18"/>
              </w:rPr>
              <w:t>V</w:t>
            </w:r>
          </w:p>
        </w:tc>
        <w:tc>
          <w:tcPr>
            <w:tcW w:w="2021" w:type="dxa"/>
          </w:tcPr>
          <w:p>
            <w:pPr>
              <w:jc w:val="center"/>
              <w:rPr>
                <w:sz w:val="15"/>
                <w:szCs w:val="18"/>
              </w:rPr>
            </w:pPr>
            <w:r>
              <w:rPr>
                <w:sz w:val="15"/>
                <w:szCs w:val="18"/>
              </w:rPr>
              <w:t>17</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2135" w:type="dxa"/>
          </w:tcPr>
          <w:p>
            <w:pPr>
              <w:rPr>
                <w:sz w:val="15"/>
                <w:szCs w:val="18"/>
              </w:rPr>
            </w:pPr>
            <w:r>
              <w:rPr>
                <w:rFonts w:hint="eastAsia" w:ascii="宋体" w:hAnsi="宋体" w:eastAsia="宋体" w:cs="宋体"/>
                <w:sz w:val="15"/>
                <w:szCs w:val="18"/>
              </w:rPr>
              <w:t>术前发生肌无力危象的病人数量</w:t>
            </w:r>
          </w:p>
        </w:tc>
        <w:tc>
          <w:tcPr>
            <w:tcW w:w="2021" w:type="dxa"/>
          </w:tcPr>
          <w:p>
            <w:pPr>
              <w:jc w:val="center"/>
              <w:rPr>
                <w:sz w:val="15"/>
                <w:szCs w:val="18"/>
              </w:rPr>
            </w:pPr>
            <w:r>
              <w:rPr>
                <w:sz w:val="15"/>
                <w:szCs w:val="18"/>
              </w:rPr>
              <w:t>17</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2135" w:type="dxa"/>
          </w:tcPr>
          <w:p>
            <w:pPr>
              <w:rPr>
                <w:sz w:val="15"/>
                <w:szCs w:val="18"/>
              </w:rPr>
            </w:pPr>
            <w:r>
              <w:rPr>
                <w:rFonts w:hint="eastAsia" w:ascii="宋体" w:hAnsi="宋体" w:eastAsia="宋体" w:cs="宋体"/>
                <w:sz w:val="15"/>
                <w:szCs w:val="18"/>
              </w:rPr>
              <w:t>术后发生肌无力危象的病人数量</w:t>
            </w:r>
          </w:p>
        </w:tc>
        <w:tc>
          <w:tcPr>
            <w:tcW w:w="2021" w:type="dxa"/>
          </w:tcPr>
          <w:p>
            <w:pPr>
              <w:jc w:val="center"/>
              <w:rPr>
                <w:sz w:val="15"/>
                <w:szCs w:val="18"/>
              </w:rPr>
            </w:pPr>
            <w:r>
              <w:rPr>
                <w:sz w:val="15"/>
                <w:szCs w:val="18"/>
              </w:rPr>
              <w:t>49</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2135" w:type="dxa"/>
          </w:tcPr>
          <w:p>
            <w:pPr>
              <w:rPr>
                <w:sz w:val="15"/>
                <w:szCs w:val="18"/>
              </w:rPr>
            </w:pPr>
            <w:bookmarkStart w:id="3" w:name="OLE_LINK6"/>
            <w:bookmarkStart w:id="4" w:name="OLE_LINK7"/>
            <w:r>
              <w:rPr>
                <w:rFonts w:hint="eastAsia" w:ascii="宋体" w:hAnsi="宋体" w:eastAsia="宋体" w:cs="宋体"/>
                <w:sz w:val="15"/>
                <w:szCs w:val="18"/>
              </w:rPr>
              <w:t>前胸正中切口：胸腔镜手术</w:t>
            </w:r>
            <w:bookmarkEnd w:id="3"/>
            <w:bookmarkEnd w:id="4"/>
          </w:p>
        </w:tc>
        <w:tc>
          <w:tcPr>
            <w:tcW w:w="2021" w:type="dxa"/>
          </w:tcPr>
          <w:p>
            <w:pPr>
              <w:jc w:val="center"/>
              <w:rPr>
                <w:sz w:val="15"/>
                <w:szCs w:val="18"/>
              </w:rPr>
            </w:pPr>
            <w:r>
              <w:rPr>
                <w:sz w:val="15"/>
                <w:szCs w:val="18"/>
              </w:rPr>
              <w:t>274:32</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2135" w:type="dxa"/>
          </w:tcPr>
          <w:p>
            <w:pPr>
              <w:rPr>
                <w:sz w:val="15"/>
                <w:szCs w:val="18"/>
              </w:rPr>
            </w:pPr>
            <w:r>
              <w:rPr>
                <w:rFonts w:hint="eastAsia" w:ascii="宋体" w:hAnsi="宋体" w:eastAsia="宋体" w:cs="宋体"/>
                <w:sz w:val="15"/>
                <w:szCs w:val="18"/>
              </w:rPr>
              <w:t>放疗患者的数量</w:t>
            </w:r>
          </w:p>
        </w:tc>
        <w:tc>
          <w:tcPr>
            <w:tcW w:w="2021" w:type="dxa"/>
          </w:tcPr>
          <w:p>
            <w:pPr>
              <w:jc w:val="center"/>
              <w:rPr>
                <w:sz w:val="15"/>
                <w:szCs w:val="18"/>
              </w:rPr>
            </w:pPr>
            <w:r>
              <w:rPr>
                <w:sz w:val="15"/>
                <w:szCs w:val="18"/>
              </w:rPr>
              <w:t>15</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2135" w:type="dxa"/>
          </w:tcPr>
          <w:p>
            <w:pPr>
              <w:rPr>
                <w:sz w:val="15"/>
                <w:szCs w:val="18"/>
              </w:rPr>
            </w:pPr>
            <w:r>
              <w:rPr>
                <w:rFonts w:hint="eastAsia" w:ascii="宋体" w:hAnsi="宋体" w:eastAsia="宋体" w:cs="宋体"/>
                <w:sz w:val="15"/>
                <w:szCs w:val="18"/>
              </w:rPr>
              <w:t>胸腺瘤：非胸腺瘤</w:t>
            </w:r>
          </w:p>
        </w:tc>
        <w:tc>
          <w:tcPr>
            <w:tcW w:w="2021" w:type="dxa"/>
          </w:tcPr>
          <w:p>
            <w:pPr>
              <w:jc w:val="center"/>
              <w:rPr>
                <w:sz w:val="15"/>
                <w:szCs w:val="18"/>
              </w:rPr>
            </w:pPr>
            <w:r>
              <w:rPr>
                <w:sz w:val="15"/>
                <w:szCs w:val="18"/>
              </w:rPr>
              <w:t>174:132</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2135" w:type="dxa"/>
          </w:tcPr>
          <w:p>
            <w:pPr>
              <w:rPr>
                <w:sz w:val="15"/>
                <w:szCs w:val="18"/>
              </w:rPr>
            </w:pPr>
            <w:r>
              <w:rPr>
                <w:rFonts w:hint="eastAsia" w:ascii="宋体" w:hAnsi="宋体" w:eastAsia="宋体" w:cs="宋体"/>
                <w:sz w:val="15"/>
                <w:szCs w:val="18"/>
              </w:rPr>
              <w:t>随访时长（年）</w:t>
            </w:r>
          </w:p>
        </w:tc>
        <w:tc>
          <w:tcPr>
            <w:tcW w:w="2021" w:type="dxa"/>
          </w:tcPr>
          <w:p>
            <w:pPr>
              <w:jc w:val="center"/>
              <w:rPr>
                <w:sz w:val="15"/>
                <w:szCs w:val="18"/>
              </w:rPr>
            </w:pPr>
            <w:r>
              <w:rPr>
                <w:sz w:val="15"/>
                <w:szCs w:val="18"/>
              </w:rPr>
              <w:t>8.29</w:t>
            </w:r>
            <w:r>
              <w:rPr>
                <w:rFonts w:hint="eastAsia"/>
                <w:sz w:val="15"/>
                <w:szCs w:val="18"/>
              </w:rPr>
              <w:t>±</w:t>
            </w:r>
            <w:r>
              <w:rPr>
                <w:sz w:val="15"/>
                <w:szCs w:val="18"/>
              </w:rPr>
              <w:t>6.58</w:t>
            </w:r>
          </w:p>
        </w:tc>
      </w:tr>
      <w:bookmarkEnd w:id="2"/>
    </w:tbl>
    <w:p>
      <w:pPr>
        <w:autoSpaceDE w:val="0"/>
        <w:autoSpaceDN w:val="0"/>
        <w:adjustRightInd w:val="0"/>
        <w:jc w:val="left"/>
        <w:rPr>
          <w:rFonts w:cs="FranklinGothic-Demi" w:asciiTheme="majorEastAsia" w:hAnsiTheme="majorEastAsia" w:eastAsiaTheme="majorEastAsia"/>
          <w:kern w:val="0"/>
          <w:sz w:val="24"/>
          <w:szCs w:val="24"/>
        </w:rPr>
      </w:pPr>
    </w:p>
    <w:p>
      <w:pPr>
        <w:autoSpaceDE w:val="0"/>
        <w:autoSpaceDN w:val="0"/>
        <w:adjustRightInd w:val="0"/>
        <w:jc w:val="left"/>
        <w:rPr>
          <w:rFonts w:cs="FranklinGothic-Demi" w:asciiTheme="majorEastAsia" w:hAnsiTheme="majorEastAsia" w:eastAsiaTheme="majorEastAsia"/>
          <w:b/>
          <w:kern w:val="0"/>
          <w:sz w:val="24"/>
          <w:szCs w:val="24"/>
        </w:rPr>
      </w:pPr>
      <w:r>
        <w:rPr>
          <w:rFonts w:hint="eastAsia" w:cs="FranklinGothic-Demi" w:asciiTheme="majorEastAsia" w:hAnsiTheme="majorEastAsia" w:eastAsiaTheme="majorEastAsia"/>
          <w:b/>
          <w:kern w:val="0"/>
          <w:sz w:val="24"/>
          <w:szCs w:val="24"/>
        </w:rPr>
        <w:t>结果</w:t>
      </w:r>
    </w:p>
    <w:p>
      <w:pPr>
        <w:autoSpaceDE w:val="0"/>
        <w:autoSpaceDN w:val="0"/>
        <w:adjustRightInd w:val="0"/>
        <w:ind w:firstLine="480" w:firstLineChars="200"/>
        <w:jc w:val="left"/>
        <w:rPr>
          <w:rFonts w:asciiTheme="majorEastAsia" w:hAnsiTheme="majorEastAsia" w:eastAsiaTheme="majorEastAsia"/>
          <w:color w:val="FF0000"/>
          <w:sz w:val="24"/>
          <w:szCs w:val="24"/>
        </w:rPr>
      </w:pPr>
      <w:r>
        <w:rPr>
          <w:rFonts w:cs="FranklinGothic-Demi" w:asciiTheme="majorEastAsia" w:hAnsiTheme="majorEastAsia" w:eastAsiaTheme="majorEastAsia"/>
          <w:kern w:val="0"/>
          <w:sz w:val="24"/>
          <w:szCs w:val="24"/>
        </w:rPr>
        <w:t>一共</w:t>
      </w:r>
      <w:r>
        <w:rPr>
          <w:rFonts w:hint="eastAsia" w:cs="FranklinGothic-Demi" w:asciiTheme="majorEastAsia" w:hAnsiTheme="majorEastAsia" w:eastAsiaTheme="majorEastAsia"/>
          <w:kern w:val="0"/>
          <w:sz w:val="24"/>
          <w:szCs w:val="24"/>
        </w:rPr>
        <w:t>306名接受了胸腺切除术的MG患者接受了为期8.29±6.58年的随访。306名MG患者中男性为155名，占50.65%，女性为151名，占49.35%。平均发病年龄为34.16±14.74岁，平均手术年龄为31.54±16.37岁，平均病程（发病与手术的间隔时间）为33.43±51.12月。术前MGFA分型I-V型患者分别有116、117、53、3、17名。术前发生肌无力危象的病人共17名，术后发生则有49名。手术方式上，</w:t>
      </w:r>
      <w:r>
        <w:rPr>
          <w:rFonts w:hint="eastAsia" w:asciiTheme="majorEastAsia" w:hAnsiTheme="majorEastAsia" w:eastAsiaTheme="majorEastAsia"/>
          <w:sz w:val="24"/>
          <w:szCs w:val="24"/>
        </w:rPr>
        <w:t>前胸</w:t>
      </w:r>
      <w:r>
        <w:rPr>
          <w:rFonts w:asciiTheme="majorEastAsia" w:hAnsiTheme="majorEastAsia" w:eastAsiaTheme="majorEastAsia"/>
          <w:sz w:val="24"/>
          <w:szCs w:val="24"/>
        </w:rPr>
        <w:t>正中切口</w:t>
      </w:r>
      <w:r>
        <w:rPr>
          <w:rFonts w:hint="eastAsia" w:asciiTheme="majorEastAsia" w:hAnsiTheme="majorEastAsia" w:eastAsiaTheme="majorEastAsia"/>
          <w:sz w:val="24"/>
          <w:szCs w:val="24"/>
        </w:rPr>
        <w:t>与</w:t>
      </w:r>
      <w:r>
        <w:rPr>
          <w:rFonts w:asciiTheme="majorEastAsia" w:hAnsiTheme="majorEastAsia" w:eastAsiaTheme="majorEastAsia"/>
          <w:sz w:val="24"/>
          <w:szCs w:val="24"/>
        </w:rPr>
        <w:t>胸腔镜手术的比例为</w:t>
      </w:r>
      <w:r>
        <w:rPr>
          <w:rFonts w:hint="eastAsia" w:asciiTheme="majorEastAsia" w:hAnsiTheme="majorEastAsia" w:eastAsiaTheme="majorEastAsia"/>
          <w:sz w:val="24"/>
          <w:szCs w:val="24"/>
        </w:rPr>
        <w:t>274:32，术后进行放疗的患者共15名。术后经病理切片证实的胸腺瘤与非胸腺瘤患者比例为174:132（见表1）。</w:t>
      </w:r>
      <w:r>
        <w:rPr>
          <w:rFonts w:hint="eastAsia" w:asciiTheme="majorEastAsia" w:hAnsiTheme="majorEastAsia" w:eastAsiaTheme="majorEastAsia"/>
          <w:color w:val="FF0000"/>
          <w:sz w:val="24"/>
          <w:szCs w:val="24"/>
        </w:rPr>
        <w:t>其中危象组死亡病人为17例，死亡原因包括术后半年内MC（6例）、术后半年外MC（6例）、肿瘤浸润（4例）、并发症（1例）；非危象组死亡病人为16例，死亡原因包括术后半年外MC（3例）、肿瘤浸润（9例）、并发症（1例）。</w:t>
      </w:r>
    </w:p>
    <w:p>
      <w:pPr>
        <w:autoSpaceDE w:val="0"/>
        <w:autoSpaceDN w:val="0"/>
        <w:adjustRightInd w:val="0"/>
        <w:ind w:firstLine="480" w:firstLineChars="200"/>
        <w:jc w:val="left"/>
        <w:rPr>
          <w:rFonts w:cs="FranklinGothic-Demi" w:asciiTheme="majorEastAsia" w:hAnsiTheme="majorEastAsia" w:eastAsiaTheme="majorEastAsia"/>
          <w:kern w:val="0"/>
          <w:sz w:val="24"/>
          <w:szCs w:val="24"/>
        </w:rPr>
      </w:pPr>
      <w:r>
        <w:rPr>
          <w:rFonts w:cs="FranklinGothic-Demi" w:asciiTheme="majorEastAsia" w:hAnsiTheme="majorEastAsia" w:eastAsiaTheme="majorEastAsia"/>
          <w:kern w:val="0"/>
          <w:sz w:val="24"/>
          <w:szCs w:val="24"/>
        </w:rPr>
        <w:t>采用病例</w:t>
      </w:r>
      <w:r>
        <w:rPr>
          <w:rFonts w:hint="eastAsia" w:cs="FranklinGothic-Demi" w:asciiTheme="majorEastAsia" w:hAnsiTheme="majorEastAsia" w:eastAsiaTheme="majorEastAsia"/>
          <w:kern w:val="0"/>
          <w:sz w:val="24"/>
          <w:szCs w:val="24"/>
        </w:rPr>
        <w:t>-</w:t>
      </w:r>
      <w:r>
        <w:rPr>
          <w:rFonts w:cs="FranklinGothic-Demi" w:asciiTheme="majorEastAsia" w:hAnsiTheme="majorEastAsia" w:eastAsiaTheme="majorEastAsia"/>
          <w:kern w:val="0"/>
          <w:sz w:val="24"/>
          <w:szCs w:val="24"/>
        </w:rPr>
        <w:t>对照研究方法</w:t>
      </w:r>
      <w:r>
        <w:rPr>
          <w:rFonts w:hint="eastAsia" w:cs="FranklinGothic-Demi" w:asciiTheme="majorEastAsia" w:hAnsiTheme="majorEastAsia" w:eastAsiaTheme="majorEastAsia"/>
          <w:kern w:val="0"/>
          <w:sz w:val="24"/>
          <w:szCs w:val="24"/>
        </w:rPr>
        <w:t>，</w:t>
      </w:r>
      <w:r>
        <w:rPr>
          <w:rFonts w:cs="FranklinGothic-Demi" w:asciiTheme="majorEastAsia" w:hAnsiTheme="majorEastAsia" w:eastAsiaTheme="majorEastAsia"/>
          <w:kern w:val="0"/>
          <w:sz w:val="24"/>
          <w:szCs w:val="24"/>
        </w:rPr>
        <w:t>将</w:t>
      </w:r>
      <w:r>
        <w:rPr>
          <w:rFonts w:hint="eastAsia" w:cs="FranklinGothic-Demi" w:asciiTheme="majorEastAsia" w:hAnsiTheme="majorEastAsia" w:eastAsiaTheme="majorEastAsia"/>
          <w:kern w:val="0"/>
          <w:sz w:val="24"/>
          <w:szCs w:val="24"/>
        </w:rPr>
        <w:t>306名MG患者按照术后是否发生肌无力危象分为两组，研究两组患者之间各种预测因素的分布是否具有统计学差异。研究的因素包括：性别、起病年龄、手术年龄、病程（发病与手术间隔的时间）、术前（MGFA分型、吞咽肌是否受累、是否发生危象、是否使用激素、使用激素的用量、是否使用吡斯的明、吡斯的明用量是否较大、是否使用免疫抑制剂或血浆置换及丙种球蛋白）、术后（是否使用激素、激素用量、是否吡斯的明用量较大、吡斯的明用量、是否免疫抑制剂或血浆置换及丙种球蛋白、是否放疗）、手术方式、是否胸腺瘤、预后转归及随访时间（表2及图1与图2）。并对上述有统计学差异的及临床认为可能相关的因素再次进行Logistic单因素回归分析（表3），得出的危险因素再次入多因素回归分析，从而得出三项独立危险因素：术前发生肌无力危象，术前累及吞咽肌及确诊胸腺瘤（表4）。</w:t>
      </w:r>
    </w:p>
    <w:p>
      <w:pPr>
        <w:autoSpaceDE w:val="0"/>
        <w:autoSpaceDN w:val="0"/>
        <w:adjustRightInd w:val="0"/>
        <w:jc w:val="left"/>
        <w:rPr>
          <w:rFonts w:cs="FranklinGothic-Demi" w:asciiTheme="majorEastAsia" w:hAnsiTheme="majorEastAsia" w:eastAsiaTheme="majorEastAsia"/>
          <w:kern w:val="0"/>
          <w:sz w:val="24"/>
          <w:szCs w:val="24"/>
        </w:rPr>
      </w:pPr>
    </w:p>
    <w:p>
      <w:pPr>
        <w:autoSpaceDE w:val="0"/>
        <w:autoSpaceDN w:val="0"/>
        <w:adjustRightInd w:val="0"/>
        <w:jc w:val="left"/>
        <w:rPr>
          <w:rFonts w:cs="FranklinGothic-Demi" w:asciiTheme="majorEastAsia" w:hAnsiTheme="majorEastAsia" w:eastAsiaTheme="majorEastAsia"/>
          <w:b/>
          <w:kern w:val="0"/>
          <w:sz w:val="24"/>
          <w:szCs w:val="24"/>
        </w:rPr>
      </w:pPr>
      <w:r>
        <w:rPr>
          <w:rFonts w:cs="FranklinGothic-Demi" w:asciiTheme="majorEastAsia" w:hAnsiTheme="majorEastAsia" w:eastAsiaTheme="majorEastAsia"/>
          <w:b/>
          <w:kern w:val="0"/>
          <w:sz w:val="24"/>
          <w:szCs w:val="24"/>
        </w:rPr>
        <w:t>表</w:t>
      </w:r>
      <w:r>
        <w:rPr>
          <w:rFonts w:hint="eastAsia" w:cs="FranklinGothic-Demi" w:asciiTheme="majorEastAsia" w:hAnsiTheme="majorEastAsia" w:eastAsiaTheme="majorEastAsia"/>
          <w:b/>
          <w:kern w:val="0"/>
          <w:sz w:val="24"/>
          <w:szCs w:val="24"/>
        </w:rPr>
        <w:t>2</w:t>
      </w:r>
    </w:p>
    <w:tbl>
      <w:tblPr>
        <w:tblStyle w:val="7"/>
        <w:tblW w:w="4156" w:type="dxa"/>
        <w:tblInd w:w="0" w:type="dxa"/>
        <w:tblBorders>
          <w:top w:val="single" w:color="auto" w:sz="4" w:space="0"/>
          <w:left w:val="none" w:color="auto" w:sz="0" w:space="0"/>
          <w:bottom w:val="single" w:color="auto" w:sz="4"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511"/>
        <w:gridCol w:w="1022"/>
        <w:gridCol w:w="990"/>
        <w:gridCol w:w="633"/>
      </w:tblGrid>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1511" w:type="dxa"/>
            <w:tcBorders>
              <w:top w:val="single" w:color="auto" w:sz="4" w:space="0"/>
              <w:bottom w:val="single" w:color="auto" w:sz="4" w:space="0"/>
            </w:tcBorders>
          </w:tcPr>
          <w:p>
            <w:pPr>
              <w:rPr>
                <w:sz w:val="15"/>
                <w:szCs w:val="18"/>
              </w:rPr>
            </w:pPr>
          </w:p>
        </w:tc>
        <w:tc>
          <w:tcPr>
            <w:tcW w:w="1022" w:type="dxa"/>
            <w:tcBorders>
              <w:top w:val="single" w:color="auto" w:sz="4" w:space="0"/>
              <w:bottom w:val="single" w:color="auto" w:sz="4" w:space="0"/>
            </w:tcBorders>
          </w:tcPr>
          <w:p>
            <w:pPr>
              <w:rPr>
                <w:sz w:val="15"/>
                <w:szCs w:val="18"/>
              </w:rPr>
            </w:pPr>
            <w:r>
              <w:rPr>
                <w:rFonts w:hint="eastAsia" w:ascii="宋体" w:hAnsi="宋体" w:eastAsia="宋体" w:cs="宋体"/>
                <w:sz w:val="15"/>
                <w:szCs w:val="18"/>
              </w:rPr>
              <w:t>术后非危象组</w:t>
            </w:r>
          </w:p>
        </w:tc>
        <w:tc>
          <w:tcPr>
            <w:tcW w:w="990" w:type="dxa"/>
            <w:tcBorders>
              <w:top w:val="single" w:color="auto" w:sz="4" w:space="0"/>
              <w:bottom w:val="single" w:color="auto" w:sz="4" w:space="0"/>
            </w:tcBorders>
          </w:tcPr>
          <w:p>
            <w:pPr>
              <w:rPr>
                <w:sz w:val="15"/>
                <w:szCs w:val="18"/>
              </w:rPr>
            </w:pPr>
            <w:r>
              <w:rPr>
                <w:rFonts w:hint="eastAsia" w:ascii="宋体" w:hAnsi="宋体" w:eastAsia="宋体" w:cs="宋体"/>
                <w:sz w:val="15"/>
                <w:szCs w:val="18"/>
              </w:rPr>
              <w:t>术后危象组</w:t>
            </w:r>
          </w:p>
        </w:tc>
        <w:tc>
          <w:tcPr>
            <w:tcW w:w="633" w:type="dxa"/>
            <w:tcBorders>
              <w:top w:val="single" w:color="auto" w:sz="4" w:space="0"/>
              <w:bottom w:val="single" w:color="auto" w:sz="4" w:space="0"/>
            </w:tcBorders>
          </w:tcPr>
          <w:p>
            <w:pPr>
              <w:rPr>
                <w:sz w:val="15"/>
                <w:szCs w:val="18"/>
              </w:rPr>
            </w:pPr>
            <w:r>
              <w:rPr>
                <w:sz w:val="15"/>
                <w:szCs w:val="18"/>
              </w:rPr>
              <w:t>P</w:t>
            </w:r>
            <w:r>
              <w:rPr>
                <w:rFonts w:hint="eastAsia" w:ascii="宋体" w:hAnsi="宋体" w:eastAsia="宋体" w:cs="宋体"/>
                <w:sz w:val="15"/>
                <w:szCs w:val="18"/>
              </w:rPr>
              <w:t>值</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1511" w:type="dxa"/>
            <w:tcBorders>
              <w:top w:val="single" w:color="auto" w:sz="4" w:space="0"/>
            </w:tcBorders>
          </w:tcPr>
          <w:p>
            <w:pPr>
              <w:rPr>
                <w:sz w:val="15"/>
                <w:szCs w:val="18"/>
              </w:rPr>
            </w:pPr>
            <w:r>
              <w:rPr>
                <w:rFonts w:hint="eastAsia" w:ascii="宋体" w:hAnsi="宋体" w:eastAsia="宋体" w:cs="宋体"/>
                <w:sz w:val="15"/>
                <w:szCs w:val="18"/>
              </w:rPr>
              <w:t>性别比（男</w:t>
            </w:r>
            <w:r>
              <w:rPr>
                <w:sz w:val="15"/>
                <w:szCs w:val="18"/>
              </w:rPr>
              <w:t>:</w:t>
            </w:r>
            <w:r>
              <w:rPr>
                <w:rFonts w:hint="eastAsia" w:ascii="宋体" w:hAnsi="宋体" w:eastAsia="宋体" w:cs="宋体"/>
                <w:sz w:val="15"/>
                <w:szCs w:val="18"/>
              </w:rPr>
              <w:t>女）</w:t>
            </w:r>
          </w:p>
        </w:tc>
        <w:tc>
          <w:tcPr>
            <w:tcW w:w="1022" w:type="dxa"/>
            <w:tcBorders>
              <w:top w:val="single" w:color="auto" w:sz="4" w:space="0"/>
            </w:tcBorders>
          </w:tcPr>
          <w:p>
            <w:pPr>
              <w:rPr>
                <w:sz w:val="15"/>
                <w:szCs w:val="18"/>
              </w:rPr>
            </w:pPr>
            <w:r>
              <w:rPr>
                <w:sz w:val="15"/>
                <w:szCs w:val="18"/>
              </w:rPr>
              <w:t>125:132</w:t>
            </w:r>
          </w:p>
        </w:tc>
        <w:tc>
          <w:tcPr>
            <w:tcW w:w="990" w:type="dxa"/>
            <w:tcBorders>
              <w:top w:val="single" w:color="auto" w:sz="4" w:space="0"/>
            </w:tcBorders>
          </w:tcPr>
          <w:p>
            <w:pPr>
              <w:rPr>
                <w:sz w:val="15"/>
                <w:szCs w:val="18"/>
              </w:rPr>
            </w:pPr>
            <w:r>
              <w:rPr>
                <w:sz w:val="15"/>
                <w:szCs w:val="18"/>
              </w:rPr>
              <w:t>30:19</w:t>
            </w:r>
          </w:p>
        </w:tc>
        <w:tc>
          <w:tcPr>
            <w:tcW w:w="633" w:type="dxa"/>
            <w:tcBorders>
              <w:top w:val="single" w:color="auto" w:sz="4" w:space="0"/>
            </w:tcBorders>
          </w:tcPr>
          <w:p>
            <w:pPr>
              <w:rPr>
                <w:sz w:val="15"/>
                <w:szCs w:val="18"/>
              </w:rPr>
            </w:pPr>
            <w:r>
              <w:rPr>
                <w:sz w:val="15"/>
                <w:szCs w:val="18"/>
              </w:rPr>
              <w:t>0.106</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1511" w:type="dxa"/>
          </w:tcPr>
          <w:p>
            <w:pPr>
              <w:rPr>
                <w:sz w:val="15"/>
                <w:szCs w:val="18"/>
              </w:rPr>
            </w:pPr>
            <w:r>
              <w:rPr>
                <w:rFonts w:hint="eastAsia" w:ascii="宋体" w:hAnsi="宋体" w:eastAsia="宋体" w:cs="宋体"/>
                <w:sz w:val="15"/>
                <w:szCs w:val="18"/>
              </w:rPr>
              <w:t>术前</w:t>
            </w:r>
          </w:p>
        </w:tc>
        <w:tc>
          <w:tcPr>
            <w:tcW w:w="1022" w:type="dxa"/>
          </w:tcPr>
          <w:p>
            <w:pPr>
              <w:rPr>
                <w:sz w:val="15"/>
                <w:szCs w:val="18"/>
              </w:rPr>
            </w:pPr>
          </w:p>
        </w:tc>
        <w:tc>
          <w:tcPr>
            <w:tcW w:w="990" w:type="dxa"/>
          </w:tcPr>
          <w:p>
            <w:pPr>
              <w:rPr>
                <w:sz w:val="15"/>
                <w:szCs w:val="18"/>
              </w:rPr>
            </w:pPr>
          </w:p>
        </w:tc>
        <w:tc>
          <w:tcPr>
            <w:tcW w:w="633" w:type="dxa"/>
          </w:tcPr>
          <w:p>
            <w:pPr>
              <w:rPr>
                <w:sz w:val="15"/>
                <w:szCs w:val="18"/>
              </w:rPr>
            </w:pPr>
            <w:r>
              <w:rPr>
                <w:sz w:val="15"/>
                <w:szCs w:val="18"/>
              </w:rPr>
              <w:t>0.009*</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Layout w:type="fixed"/>
        </w:tblPrEx>
        <w:tc>
          <w:tcPr>
            <w:tcW w:w="1511" w:type="dxa"/>
          </w:tcPr>
          <w:p>
            <w:pPr>
              <w:ind w:left="210" w:leftChars="100"/>
              <w:rPr>
                <w:sz w:val="15"/>
                <w:szCs w:val="18"/>
              </w:rPr>
            </w:pPr>
            <w:r>
              <w:rPr>
                <w:sz w:val="15"/>
                <w:szCs w:val="18"/>
              </w:rPr>
              <w:t>MGFA I</w:t>
            </w:r>
          </w:p>
        </w:tc>
        <w:tc>
          <w:tcPr>
            <w:tcW w:w="1022" w:type="dxa"/>
          </w:tcPr>
          <w:p>
            <w:pPr>
              <w:rPr>
                <w:sz w:val="15"/>
                <w:szCs w:val="18"/>
              </w:rPr>
            </w:pPr>
            <w:r>
              <w:rPr>
                <w:sz w:val="15"/>
                <w:szCs w:val="18"/>
              </w:rPr>
              <w:t>105</w:t>
            </w:r>
          </w:p>
        </w:tc>
        <w:tc>
          <w:tcPr>
            <w:tcW w:w="990" w:type="dxa"/>
          </w:tcPr>
          <w:p>
            <w:pPr>
              <w:rPr>
                <w:sz w:val="15"/>
                <w:szCs w:val="18"/>
              </w:rPr>
            </w:pPr>
            <w:r>
              <w:rPr>
                <w:sz w:val="15"/>
                <w:szCs w:val="18"/>
              </w:rPr>
              <w:t>11</w:t>
            </w:r>
          </w:p>
        </w:tc>
        <w:tc>
          <w:tcPr>
            <w:tcW w:w="633" w:type="dxa"/>
          </w:tcPr>
          <w:p>
            <w:pPr>
              <w:rPr>
                <w:sz w:val="15"/>
                <w:szCs w:val="18"/>
              </w:rPr>
            </w:pPr>
            <w:r>
              <w:rPr>
                <w:sz w:val="15"/>
                <w:szCs w:val="18"/>
              </w:rPr>
              <w:t>0.023*</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1511" w:type="dxa"/>
          </w:tcPr>
          <w:p>
            <w:pPr>
              <w:ind w:left="210" w:leftChars="100"/>
              <w:rPr>
                <w:sz w:val="15"/>
                <w:szCs w:val="18"/>
              </w:rPr>
            </w:pPr>
            <w:r>
              <w:rPr>
                <w:sz w:val="15"/>
                <w:szCs w:val="18"/>
              </w:rPr>
              <w:t>MGFA II</w:t>
            </w:r>
          </w:p>
        </w:tc>
        <w:tc>
          <w:tcPr>
            <w:tcW w:w="1022" w:type="dxa"/>
          </w:tcPr>
          <w:p>
            <w:pPr>
              <w:rPr>
                <w:sz w:val="15"/>
                <w:szCs w:val="18"/>
              </w:rPr>
            </w:pPr>
            <w:r>
              <w:rPr>
                <w:sz w:val="15"/>
                <w:szCs w:val="18"/>
              </w:rPr>
              <w:t>95</w:t>
            </w:r>
          </w:p>
        </w:tc>
        <w:tc>
          <w:tcPr>
            <w:tcW w:w="990" w:type="dxa"/>
          </w:tcPr>
          <w:p>
            <w:pPr>
              <w:rPr>
                <w:sz w:val="15"/>
                <w:szCs w:val="18"/>
              </w:rPr>
            </w:pPr>
            <w:r>
              <w:rPr>
                <w:sz w:val="15"/>
                <w:szCs w:val="18"/>
              </w:rPr>
              <w:t>22</w:t>
            </w:r>
          </w:p>
        </w:tc>
        <w:tc>
          <w:tcPr>
            <w:tcW w:w="633" w:type="dxa"/>
          </w:tcPr>
          <w:p>
            <w:pPr>
              <w:rPr>
                <w:sz w:val="15"/>
                <w:szCs w:val="18"/>
              </w:rPr>
            </w:pPr>
            <w:r>
              <w:rPr>
                <w:sz w:val="15"/>
                <w:szCs w:val="18"/>
              </w:rPr>
              <w:t>0.295</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1511" w:type="dxa"/>
          </w:tcPr>
          <w:p>
            <w:pPr>
              <w:ind w:left="210" w:leftChars="100"/>
              <w:rPr>
                <w:sz w:val="15"/>
                <w:szCs w:val="18"/>
              </w:rPr>
            </w:pPr>
            <w:r>
              <w:rPr>
                <w:sz w:val="15"/>
                <w:szCs w:val="18"/>
              </w:rPr>
              <w:t>MGFA III</w:t>
            </w:r>
          </w:p>
        </w:tc>
        <w:tc>
          <w:tcPr>
            <w:tcW w:w="1022" w:type="dxa"/>
          </w:tcPr>
          <w:p>
            <w:pPr>
              <w:rPr>
                <w:sz w:val="15"/>
                <w:szCs w:val="18"/>
              </w:rPr>
            </w:pPr>
            <w:r>
              <w:rPr>
                <w:sz w:val="15"/>
                <w:szCs w:val="18"/>
              </w:rPr>
              <w:t>44</w:t>
            </w:r>
          </w:p>
        </w:tc>
        <w:tc>
          <w:tcPr>
            <w:tcW w:w="990" w:type="dxa"/>
          </w:tcPr>
          <w:p>
            <w:pPr>
              <w:rPr>
                <w:sz w:val="15"/>
                <w:szCs w:val="18"/>
              </w:rPr>
            </w:pPr>
            <w:r>
              <w:rPr>
                <w:sz w:val="15"/>
                <w:szCs w:val="18"/>
              </w:rPr>
              <w:t>9</w:t>
            </w:r>
          </w:p>
        </w:tc>
        <w:tc>
          <w:tcPr>
            <w:tcW w:w="633" w:type="dxa"/>
          </w:tcPr>
          <w:p>
            <w:pPr>
              <w:rPr>
                <w:sz w:val="15"/>
                <w:szCs w:val="18"/>
              </w:rPr>
            </w:pPr>
            <w:r>
              <w:rPr>
                <w:sz w:val="15"/>
                <w:szCs w:val="18"/>
              </w:rPr>
              <w:t>0.833</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1511" w:type="dxa"/>
          </w:tcPr>
          <w:p>
            <w:pPr>
              <w:ind w:left="210" w:leftChars="100"/>
              <w:rPr>
                <w:sz w:val="15"/>
                <w:szCs w:val="18"/>
              </w:rPr>
            </w:pPr>
            <w:r>
              <w:rPr>
                <w:sz w:val="15"/>
                <w:szCs w:val="18"/>
              </w:rPr>
              <w:t>MGFA IV</w:t>
            </w:r>
          </w:p>
        </w:tc>
        <w:tc>
          <w:tcPr>
            <w:tcW w:w="1022" w:type="dxa"/>
          </w:tcPr>
          <w:p>
            <w:pPr>
              <w:rPr>
                <w:sz w:val="15"/>
                <w:szCs w:val="18"/>
              </w:rPr>
            </w:pPr>
            <w:r>
              <w:rPr>
                <w:sz w:val="15"/>
                <w:szCs w:val="18"/>
              </w:rPr>
              <w:t>3</w:t>
            </w:r>
          </w:p>
        </w:tc>
        <w:tc>
          <w:tcPr>
            <w:tcW w:w="990" w:type="dxa"/>
          </w:tcPr>
          <w:p>
            <w:pPr>
              <w:rPr>
                <w:sz w:val="15"/>
                <w:szCs w:val="18"/>
              </w:rPr>
            </w:pPr>
            <w:r>
              <w:rPr>
                <w:sz w:val="15"/>
                <w:szCs w:val="18"/>
              </w:rPr>
              <w:t>0</w:t>
            </w:r>
          </w:p>
        </w:tc>
        <w:tc>
          <w:tcPr>
            <w:tcW w:w="633" w:type="dxa"/>
          </w:tcPr>
          <w:p>
            <w:pPr>
              <w:rPr>
                <w:sz w:val="15"/>
                <w:szCs w:val="18"/>
              </w:rPr>
            </w:pPr>
            <w:r>
              <w:rPr>
                <w:sz w:val="15"/>
                <w:szCs w:val="18"/>
              </w:rPr>
              <w:t>1.000</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Layout w:type="fixed"/>
        </w:tblPrEx>
        <w:tc>
          <w:tcPr>
            <w:tcW w:w="1511" w:type="dxa"/>
          </w:tcPr>
          <w:p>
            <w:pPr>
              <w:ind w:left="210" w:leftChars="100"/>
              <w:rPr>
                <w:sz w:val="15"/>
                <w:szCs w:val="18"/>
              </w:rPr>
            </w:pPr>
            <w:r>
              <w:rPr>
                <w:sz w:val="15"/>
                <w:szCs w:val="18"/>
              </w:rPr>
              <w:t>MGFA V</w:t>
            </w:r>
          </w:p>
        </w:tc>
        <w:tc>
          <w:tcPr>
            <w:tcW w:w="1022" w:type="dxa"/>
          </w:tcPr>
          <w:p>
            <w:pPr>
              <w:rPr>
                <w:sz w:val="15"/>
                <w:szCs w:val="18"/>
              </w:rPr>
            </w:pPr>
            <w:r>
              <w:rPr>
                <w:sz w:val="15"/>
                <w:szCs w:val="18"/>
              </w:rPr>
              <w:t>10</w:t>
            </w:r>
          </w:p>
        </w:tc>
        <w:tc>
          <w:tcPr>
            <w:tcW w:w="990" w:type="dxa"/>
          </w:tcPr>
          <w:p>
            <w:pPr>
              <w:rPr>
                <w:sz w:val="15"/>
                <w:szCs w:val="18"/>
              </w:rPr>
            </w:pPr>
            <w:r>
              <w:rPr>
                <w:sz w:val="15"/>
                <w:szCs w:val="18"/>
              </w:rPr>
              <w:t>7</w:t>
            </w:r>
          </w:p>
        </w:tc>
        <w:tc>
          <w:tcPr>
            <w:tcW w:w="633" w:type="dxa"/>
          </w:tcPr>
          <w:p>
            <w:pPr>
              <w:rPr>
                <w:sz w:val="15"/>
                <w:szCs w:val="18"/>
              </w:rPr>
            </w:pPr>
            <w:r>
              <w:rPr>
                <w:sz w:val="15"/>
                <w:szCs w:val="18"/>
              </w:rPr>
              <w:t>0.010*</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1511" w:type="dxa"/>
          </w:tcPr>
          <w:p>
            <w:pPr>
              <w:ind w:left="210" w:leftChars="100"/>
              <w:rPr>
                <w:sz w:val="15"/>
                <w:szCs w:val="18"/>
              </w:rPr>
            </w:pPr>
            <w:r>
              <w:rPr>
                <w:rFonts w:hint="eastAsia" w:ascii="宋体" w:hAnsi="宋体" w:eastAsia="宋体" w:cs="宋体"/>
                <w:sz w:val="15"/>
                <w:szCs w:val="18"/>
              </w:rPr>
              <w:t>吞咽肌受累</w:t>
            </w:r>
          </w:p>
        </w:tc>
        <w:tc>
          <w:tcPr>
            <w:tcW w:w="1022" w:type="dxa"/>
          </w:tcPr>
          <w:p>
            <w:pPr>
              <w:rPr>
                <w:sz w:val="15"/>
                <w:szCs w:val="18"/>
              </w:rPr>
            </w:pPr>
            <w:r>
              <w:rPr>
                <w:sz w:val="15"/>
                <w:szCs w:val="18"/>
              </w:rPr>
              <w:t>106</w:t>
            </w:r>
          </w:p>
        </w:tc>
        <w:tc>
          <w:tcPr>
            <w:tcW w:w="990" w:type="dxa"/>
          </w:tcPr>
          <w:p>
            <w:pPr>
              <w:rPr>
                <w:sz w:val="15"/>
                <w:szCs w:val="18"/>
              </w:rPr>
            </w:pPr>
            <w:r>
              <w:rPr>
                <w:sz w:val="15"/>
                <w:szCs w:val="18"/>
              </w:rPr>
              <w:t>12</w:t>
            </w:r>
          </w:p>
        </w:tc>
        <w:tc>
          <w:tcPr>
            <w:tcW w:w="633" w:type="dxa"/>
          </w:tcPr>
          <w:p>
            <w:pPr>
              <w:rPr>
                <w:sz w:val="15"/>
                <w:szCs w:val="18"/>
              </w:rPr>
            </w:pPr>
            <w:r>
              <w:rPr>
                <w:sz w:val="15"/>
                <w:szCs w:val="18"/>
              </w:rPr>
              <w:t>0.025*</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1511" w:type="dxa"/>
          </w:tcPr>
          <w:p>
            <w:pPr>
              <w:ind w:left="210" w:leftChars="100"/>
              <w:rPr>
                <w:sz w:val="15"/>
                <w:szCs w:val="18"/>
              </w:rPr>
            </w:pPr>
            <w:r>
              <w:rPr>
                <w:rFonts w:hint="eastAsia" w:ascii="宋体" w:hAnsi="宋体" w:eastAsia="宋体" w:cs="宋体"/>
                <w:sz w:val="15"/>
                <w:szCs w:val="18"/>
              </w:rPr>
              <w:t>非危象</w:t>
            </w:r>
            <w:r>
              <w:rPr>
                <w:sz w:val="15"/>
                <w:szCs w:val="18"/>
              </w:rPr>
              <w:t>/</w:t>
            </w:r>
            <w:r>
              <w:rPr>
                <w:rFonts w:hint="eastAsia" w:ascii="宋体" w:hAnsi="宋体" w:eastAsia="宋体" w:cs="宋体"/>
                <w:sz w:val="15"/>
                <w:szCs w:val="18"/>
              </w:rPr>
              <w:t>危象</w:t>
            </w:r>
          </w:p>
        </w:tc>
        <w:tc>
          <w:tcPr>
            <w:tcW w:w="1022" w:type="dxa"/>
          </w:tcPr>
          <w:p>
            <w:pPr>
              <w:rPr>
                <w:sz w:val="15"/>
                <w:szCs w:val="18"/>
              </w:rPr>
            </w:pPr>
            <w:r>
              <w:rPr>
                <w:sz w:val="15"/>
                <w:szCs w:val="18"/>
              </w:rPr>
              <w:t>247:10</w:t>
            </w:r>
          </w:p>
        </w:tc>
        <w:tc>
          <w:tcPr>
            <w:tcW w:w="990" w:type="dxa"/>
          </w:tcPr>
          <w:p>
            <w:pPr>
              <w:rPr>
                <w:sz w:val="15"/>
                <w:szCs w:val="18"/>
              </w:rPr>
            </w:pPr>
            <w:r>
              <w:rPr>
                <w:sz w:val="15"/>
                <w:szCs w:val="18"/>
              </w:rPr>
              <w:t>42:7</w:t>
            </w:r>
          </w:p>
        </w:tc>
        <w:tc>
          <w:tcPr>
            <w:tcW w:w="633" w:type="dxa"/>
          </w:tcPr>
          <w:p>
            <w:pPr>
              <w:rPr>
                <w:sz w:val="15"/>
                <w:szCs w:val="18"/>
              </w:rPr>
            </w:pPr>
            <w:r>
              <w:rPr>
                <w:sz w:val="15"/>
                <w:szCs w:val="18"/>
              </w:rPr>
              <w:t>0.004*</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1511" w:type="dxa"/>
          </w:tcPr>
          <w:p>
            <w:pPr>
              <w:ind w:left="210" w:leftChars="100"/>
              <w:rPr>
                <w:sz w:val="15"/>
                <w:szCs w:val="18"/>
              </w:rPr>
            </w:pPr>
            <w:r>
              <w:rPr>
                <w:rFonts w:hint="eastAsia" w:ascii="宋体" w:hAnsi="宋体" w:eastAsia="宋体" w:cs="宋体"/>
                <w:sz w:val="15"/>
                <w:szCs w:val="18"/>
              </w:rPr>
              <w:t>是</w:t>
            </w:r>
            <w:r>
              <w:rPr>
                <w:sz w:val="15"/>
                <w:szCs w:val="18"/>
              </w:rPr>
              <w:t>/</w:t>
            </w:r>
            <w:r>
              <w:rPr>
                <w:rFonts w:hint="eastAsia" w:ascii="宋体" w:hAnsi="宋体" w:eastAsia="宋体" w:cs="宋体"/>
                <w:sz w:val="15"/>
                <w:szCs w:val="18"/>
              </w:rPr>
              <w:t>否激素</w:t>
            </w:r>
          </w:p>
        </w:tc>
        <w:tc>
          <w:tcPr>
            <w:tcW w:w="1022" w:type="dxa"/>
          </w:tcPr>
          <w:p>
            <w:pPr>
              <w:rPr>
                <w:sz w:val="15"/>
                <w:szCs w:val="18"/>
              </w:rPr>
            </w:pPr>
            <w:r>
              <w:rPr>
                <w:sz w:val="15"/>
                <w:szCs w:val="18"/>
              </w:rPr>
              <w:t>161:96</w:t>
            </w:r>
          </w:p>
        </w:tc>
        <w:tc>
          <w:tcPr>
            <w:tcW w:w="990" w:type="dxa"/>
          </w:tcPr>
          <w:p>
            <w:pPr>
              <w:rPr>
                <w:sz w:val="15"/>
                <w:szCs w:val="18"/>
              </w:rPr>
            </w:pPr>
            <w:r>
              <w:rPr>
                <w:sz w:val="15"/>
                <w:szCs w:val="18"/>
              </w:rPr>
              <w:t>32:17</w:t>
            </w:r>
          </w:p>
        </w:tc>
        <w:tc>
          <w:tcPr>
            <w:tcW w:w="633" w:type="dxa"/>
          </w:tcPr>
          <w:p>
            <w:pPr>
              <w:rPr>
                <w:sz w:val="15"/>
                <w:szCs w:val="18"/>
              </w:rPr>
            </w:pPr>
            <w:r>
              <w:rPr>
                <w:sz w:val="15"/>
                <w:szCs w:val="18"/>
              </w:rPr>
              <w:t>0.848</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Layout w:type="fixed"/>
        </w:tblPrEx>
        <w:tc>
          <w:tcPr>
            <w:tcW w:w="1511" w:type="dxa"/>
          </w:tcPr>
          <w:p>
            <w:pPr>
              <w:ind w:left="210" w:leftChars="100"/>
              <w:rPr>
                <w:sz w:val="15"/>
                <w:szCs w:val="18"/>
              </w:rPr>
            </w:pPr>
            <w:r>
              <w:rPr>
                <w:rFonts w:hint="eastAsia" w:ascii="宋体" w:hAnsi="宋体" w:eastAsia="宋体" w:cs="宋体"/>
                <w:sz w:val="15"/>
                <w:szCs w:val="18"/>
              </w:rPr>
              <w:t>是</w:t>
            </w:r>
            <w:r>
              <w:rPr>
                <w:sz w:val="15"/>
                <w:szCs w:val="18"/>
              </w:rPr>
              <w:t>/</w:t>
            </w:r>
            <w:r>
              <w:rPr>
                <w:rFonts w:hint="eastAsia" w:ascii="宋体" w:hAnsi="宋体" w:eastAsia="宋体" w:cs="宋体"/>
                <w:sz w:val="15"/>
                <w:szCs w:val="18"/>
              </w:rPr>
              <w:t>否吡斯的明</w:t>
            </w:r>
            <w:r>
              <w:rPr>
                <w:sz w:val="15"/>
                <w:szCs w:val="18"/>
              </w:rPr>
              <w:t>&gt;240mg/d</w:t>
            </w:r>
          </w:p>
        </w:tc>
        <w:tc>
          <w:tcPr>
            <w:tcW w:w="1022" w:type="dxa"/>
          </w:tcPr>
          <w:p>
            <w:pPr>
              <w:rPr>
                <w:sz w:val="15"/>
                <w:szCs w:val="18"/>
              </w:rPr>
            </w:pPr>
            <w:r>
              <w:rPr>
                <w:sz w:val="15"/>
                <w:szCs w:val="18"/>
              </w:rPr>
              <w:t>24:233</w:t>
            </w:r>
          </w:p>
        </w:tc>
        <w:tc>
          <w:tcPr>
            <w:tcW w:w="990" w:type="dxa"/>
          </w:tcPr>
          <w:p>
            <w:pPr>
              <w:rPr>
                <w:sz w:val="15"/>
                <w:szCs w:val="18"/>
              </w:rPr>
            </w:pPr>
            <w:r>
              <w:rPr>
                <w:sz w:val="15"/>
                <w:szCs w:val="18"/>
              </w:rPr>
              <w:t>6:43</w:t>
            </w:r>
          </w:p>
        </w:tc>
        <w:tc>
          <w:tcPr>
            <w:tcW w:w="633" w:type="dxa"/>
          </w:tcPr>
          <w:p>
            <w:pPr>
              <w:rPr>
                <w:sz w:val="15"/>
                <w:szCs w:val="18"/>
              </w:rPr>
            </w:pPr>
            <w:r>
              <w:rPr>
                <w:sz w:val="15"/>
                <w:szCs w:val="18"/>
              </w:rPr>
              <w:t>0.531</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1511" w:type="dxa"/>
          </w:tcPr>
          <w:p>
            <w:pPr>
              <w:ind w:left="210" w:leftChars="100"/>
              <w:rPr>
                <w:sz w:val="15"/>
                <w:szCs w:val="18"/>
              </w:rPr>
            </w:pPr>
            <w:r>
              <w:rPr>
                <w:rFonts w:hint="eastAsia" w:ascii="宋体" w:hAnsi="宋体" w:eastAsia="宋体" w:cs="宋体"/>
                <w:sz w:val="15"/>
                <w:szCs w:val="18"/>
              </w:rPr>
              <w:t>是</w:t>
            </w:r>
            <w:r>
              <w:rPr>
                <w:sz w:val="15"/>
                <w:szCs w:val="18"/>
              </w:rPr>
              <w:t>/</w:t>
            </w:r>
            <w:r>
              <w:rPr>
                <w:rFonts w:hint="eastAsia" w:ascii="宋体" w:hAnsi="宋体" w:eastAsia="宋体" w:cs="宋体"/>
                <w:sz w:val="15"/>
                <w:szCs w:val="18"/>
              </w:rPr>
              <w:t>否免疫抑制剂</w:t>
            </w:r>
          </w:p>
        </w:tc>
        <w:tc>
          <w:tcPr>
            <w:tcW w:w="1022" w:type="dxa"/>
          </w:tcPr>
          <w:p>
            <w:pPr>
              <w:rPr>
                <w:sz w:val="15"/>
                <w:szCs w:val="18"/>
              </w:rPr>
            </w:pPr>
            <w:r>
              <w:rPr>
                <w:sz w:val="15"/>
                <w:szCs w:val="18"/>
              </w:rPr>
              <w:t>5:252</w:t>
            </w:r>
          </w:p>
        </w:tc>
        <w:tc>
          <w:tcPr>
            <w:tcW w:w="990" w:type="dxa"/>
          </w:tcPr>
          <w:p>
            <w:pPr>
              <w:rPr>
                <w:sz w:val="15"/>
                <w:szCs w:val="18"/>
              </w:rPr>
            </w:pPr>
            <w:r>
              <w:rPr>
                <w:sz w:val="15"/>
                <w:szCs w:val="18"/>
              </w:rPr>
              <w:t>0:49</w:t>
            </w:r>
          </w:p>
        </w:tc>
        <w:tc>
          <w:tcPr>
            <w:tcW w:w="633" w:type="dxa"/>
          </w:tcPr>
          <w:p>
            <w:pPr>
              <w:rPr>
                <w:sz w:val="15"/>
                <w:szCs w:val="18"/>
              </w:rPr>
            </w:pPr>
            <w:r>
              <w:rPr>
                <w:sz w:val="15"/>
                <w:szCs w:val="18"/>
              </w:rPr>
              <w:t>0.712</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1511" w:type="dxa"/>
          </w:tcPr>
          <w:p>
            <w:pPr>
              <w:ind w:left="210" w:leftChars="100"/>
              <w:rPr>
                <w:sz w:val="15"/>
                <w:szCs w:val="18"/>
              </w:rPr>
            </w:pPr>
            <w:r>
              <w:rPr>
                <w:rFonts w:hint="eastAsia" w:ascii="宋体" w:hAnsi="宋体" w:eastAsia="宋体" w:cs="宋体"/>
                <w:sz w:val="15"/>
                <w:szCs w:val="18"/>
              </w:rPr>
              <w:t>是</w:t>
            </w:r>
            <w:r>
              <w:rPr>
                <w:sz w:val="15"/>
                <w:szCs w:val="18"/>
              </w:rPr>
              <w:t>/</w:t>
            </w:r>
            <w:r>
              <w:rPr>
                <w:rFonts w:hint="eastAsia" w:ascii="宋体" w:hAnsi="宋体" w:eastAsia="宋体" w:cs="宋体"/>
                <w:sz w:val="15"/>
                <w:szCs w:val="18"/>
              </w:rPr>
              <w:t>否血浆置换或丙种球蛋白</w:t>
            </w:r>
          </w:p>
        </w:tc>
        <w:tc>
          <w:tcPr>
            <w:tcW w:w="1022" w:type="dxa"/>
          </w:tcPr>
          <w:p>
            <w:pPr>
              <w:rPr>
                <w:sz w:val="15"/>
                <w:szCs w:val="18"/>
              </w:rPr>
            </w:pPr>
            <w:r>
              <w:rPr>
                <w:sz w:val="15"/>
                <w:szCs w:val="18"/>
              </w:rPr>
              <w:t>2:255</w:t>
            </w:r>
          </w:p>
        </w:tc>
        <w:tc>
          <w:tcPr>
            <w:tcW w:w="990" w:type="dxa"/>
          </w:tcPr>
          <w:p>
            <w:pPr>
              <w:rPr>
                <w:sz w:val="15"/>
                <w:szCs w:val="18"/>
              </w:rPr>
            </w:pPr>
            <w:r>
              <w:rPr>
                <w:sz w:val="15"/>
                <w:szCs w:val="18"/>
              </w:rPr>
              <w:t>2:47</w:t>
            </w:r>
          </w:p>
        </w:tc>
        <w:tc>
          <w:tcPr>
            <w:tcW w:w="633" w:type="dxa"/>
          </w:tcPr>
          <w:p>
            <w:pPr>
              <w:rPr>
                <w:sz w:val="15"/>
                <w:szCs w:val="18"/>
              </w:rPr>
            </w:pPr>
            <w:r>
              <w:rPr>
                <w:sz w:val="15"/>
                <w:szCs w:val="18"/>
              </w:rPr>
              <w:t>0.062</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1511" w:type="dxa"/>
          </w:tcPr>
          <w:p>
            <w:pPr>
              <w:rPr>
                <w:sz w:val="15"/>
                <w:szCs w:val="18"/>
              </w:rPr>
            </w:pPr>
            <w:r>
              <w:rPr>
                <w:rFonts w:hint="eastAsia" w:ascii="宋体" w:hAnsi="宋体" w:eastAsia="宋体" w:cs="宋体"/>
                <w:sz w:val="15"/>
                <w:szCs w:val="18"/>
              </w:rPr>
              <w:t>术后</w:t>
            </w:r>
          </w:p>
        </w:tc>
        <w:tc>
          <w:tcPr>
            <w:tcW w:w="1022" w:type="dxa"/>
          </w:tcPr>
          <w:p>
            <w:pPr>
              <w:rPr>
                <w:sz w:val="15"/>
                <w:szCs w:val="18"/>
              </w:rPr>
            </w:pPr>
          </w:p>
        </w:tc>
        <w:tc>
          <w:tcPr>
            <w:tcW w:w="990" w:type="dxa"/>
          </w:tcPr>
          <w:p>
            <w:pPr>
              <w:rPr>
                <w:sz w:val="15"/>
                <w:szCs w:val="18"/>
              </w:rPr>
            </w:pPr>
          </w:p>
        </w:tc>
        <w:tc>
          <w:tcPr>
            <w:tcW w:w="633" w:type="dxa"/>
          </w:tcPr>
          <w:p>
            <w:pPr>
              <w:rPr>
                <w:sz w:val="15"/>
                <w:szCs w:val="18"/>
              </w:rPr>
            </w:pP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Layout w:type="fixed"/>
        </w:tblPrEx>
        <w:tc>
          <w:tcPr>
            <w:tcW w:w="1511" w:type="dxa"/>
          </w:tcPr>
          <w:p>
            <w:pPr>
              <w:ind w:left="210" w:leftChars="100"/>
              <w:rPr>
                <w:sz w:val="15"/>
                <w:szCs w:val="18"/>
              </w:rPr>
            </w:pPr>
            <w:r>
              <w:rPr>
                <w:rFonts w:hint="eastAsia" w:ascii="宋体" w:hAnsi="宋体" w:eastAsia="宋体" w:cs="宋体"/>
                <w:sz w:val="15"/>
                <w:szCs w:val="18"/>
              </w:rPr>
              <w:t>是</w:t>
            </w:r>
            <w:r>
              <w:rPr>
                <w:sz w:val="15"/>
                <w:szCs w:val="18"/>
              </w:rPr>
              <w:t>/</w:t>
            </w:r>
            <w:r>
              <w:rPr>
                <w:rFonts w:hint="eastAsia" w:ascii="宋体" w:hAnsi="宋体" w:eastAsia="宋体" w:cs="宋体"/>
                <w:sz w:val="15"/>
                <w:szCs w:val="18"/>
              </w:rPr>
              <w:t>否激素</w:t>
            </w:r>
          </w:p>
        </w:tc>
        <w:tc>
          <w:tcPr>
            <w:tcW w:w="1022" w:type="dxa"/>
          </w:tcPr>
          <w:p>
            <w:pPr>
              <w:rPr>
                <w:sz w:val="15"/>
                <w:szCs w:val="18"/>
              </w:rPr>
            </w:pPr>
            <w:r>
              <w:rPr>
                <w:sz w:val="15"/>
                <w:szCs w:val="18"/>
              </w:rPr>
              <w:t>152:105</w:t>
            </w:r>
          </w:p>
        </w:tc>
        <w:tc>
          <w:tcPr>
            <w:tcW w:w="990" w:type="dxa"/>
          </w:tcPr>
          <w:p>
            <w:pPr>
              <w:rPr>
                <w:sz w:val="15"/>
                <w:szCs w:val="18"/>
              </w:rPr>
            </w:pPr>
            <w:r>
              <w:rPr>
                <w:sz w:val="15"/>
                <w:szCs w:val="18"/>
              </w:rPr>
              <w:t>35:14</w:t>
            </w:r>
          </w:p>
        </w:tc>
        <w:tc>
          <w:tcPr>
            <w:tcW w:w="633" w:type="dxa"/>
          </w:tcPr>
          <w:p>
            <w:pPr>
              <w:rPr>
                <w:sz w:val="15"/>
                <w:szCs w:val="18"/>
              </w:rPr>
            </w:pPr>
            <w:r>
              <w:rPr>
                <w:sz w:val="15"/>
                <w:szCs w:val="18"/>
              </w:rPr>
              <w:t>0.145</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1511" w:type="dxa"/>
          </w:tcPr>
          <w:p>
            <w:pPr>
              <w:ind w:left="210" w:leftChars="100"/>
              <w:rPr>
                <w:sz w:val="15"/>
                <w:szCs w:val="18"/>
              </w:rPr>
            </w:pPr>
            <w:bookmarkStart w:id="5" w:name="_Hlk448618419"/>
            <w:r>
              <w:rPr>
                <w:rFonts w:hint="eastAsia" w:ascii="宋体" w:hAnsi="宋体" w:eastAsia="宋体" w:cs="宋体"/>
                <w:sz w:val="15"/>
                <w:szCs w:val="18"/>
              </w:rPr>
              <w:t>是</w:t>
            </w:r>
            <w:r>
              <w:rPr>
                <w:sz w:val="15"/>
                <w:szCs w:val="18"/>
              </w:rPr>
              <w:t>/</w:t>
            </w:r>
            <w:r>
              <w:rPr>
                <w:rFonts w:hint="eastAsia" w:ascii="宋体" w:hAnsi="宋体" w:eastAsia="宋体" w:cs="宋体"/>
                <w:sz w:val="15"/>
                <w:szCs w:val="18"/>
              </w:rPr>
              <w:t>否吡斯的明</w:t>
            </w:r>
            <w:r>
              <w:rPr>
                <w:sz w:val="15"/>
                <w:szCs w:val="18"/>
              </w:rPr>
              <w:t>&gt;240mg/d</w:t>
            </w:r>
          </w:p>
        </w:tc>
        <w:tc>
          <w:tcPr>
            <w:tcW w:w="1022" w:type="dxa"/>
          </w:tcPr>
          <w:p>
            <w:pPr>
              <w:rPr>
                <w:sz w:val="15"/>
                <w:szCs w:val="18"/>
              </w:rPr>
            </w:pPr>
            <w:r>
              <w:rPr>
                <w:sz w:val="15"/>
                <w:szCs w:val="18"/>
              </w:rPr>
              <w:t>14:243</w:t>
            </w:r>
          </w:p>
        </w:tc>
        <w:tc>
          <w:tcPr>
            <w:tcW w:w="990" w:type="dxa"/>
          </w:tcPr>
          <w:p>
            <w:pPr>
              <w:rPr>
                <w:sz w:val="15"/>
                <w:szCs w:val="18"/>
              </w:rPr>
            </w:pPr>
            <w:r>
              <w:rPr>
                <w:sz w:val="15"/>
                <w:szCs w:val="18"/>
              </w:rPr>
              <w:t>15:34</w:t>
            </w:r>
          </w:p>
        </w:tc>
        <w:tc>
          <w:tcPr>
            <w:tcW w:w="633" w:type="dxa"/>
          </w:tcPr>
          <w:p>
            <w:pPr>
              <w:rPr>
                <w:sz w:val="15"/>
                <w:szCs w:val="18"/>
              </w:rPr>
            </w:pPr>
            <w:r>
              <w:rPr>
                <w:sz w:val="15"/>
                <w:szCs w:val="18"/>
              </w:rPr>
              <w:t>0.000*</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1511" w:type="dxa"/>
          </w:tcPr>
          <w:p>
            <w:pPr>
              <w:ind w:left="210" w:leftChars="100"/>
              <w:rPr>
                <w:sz w:val="15"/>
                <w:szCs w:val="18"/>
              </w:rPr>
            </w:pPr>
            <w:r>
              <w:rPr>
                <w:rFonts w:hint="eastAsia" w:ascii="宋体" w:hAnsi="宋体" w:eastAsia="宋体" w:cs="宋体"/>
                <w:sz w:val="15"/>
                <w:szCs w:val="18"/>
              </w:rPr>
              <w:t>是</w:t>
            </w:r>
            <w:r>
              <w:rPr>
                <w:sz w:val="15"/>
                <w:szCs w:val="18"/>
              </w:rPr>
              <w:t>/</w:t>
            </w:r>
            <w:r>
              <w:rPr>
                <w:rFonts w:hint="eastAsia" w:ascii="宋体" w:hAnsi="宋体" w:eastAsia="宋体" w:cs="宋体"/>
                <w:sz w:val="15"/>
                <w:szCs w:val="18"/>
              </w:rPr>
              <w:t>否免疫抑制剂</w:t>
            </w:r>
          </w:p>
        </w:tc>
        <w:tc>
          <w:tcPr>
            <w:tcW w:w="1022" w:type="dxa"/>
          </w:tcPr>
          <w:p>
            <w:pPr>
              <w:rPr>
                <w:sz w:val="15"/>
                <w:szCs w:val="18"/>
              </w:rPr>
            </w:pPr>
            <w:r>
              <w:rPr>
                <w:sz w:val="15"/>
                <w:szCs w:val="18"/>
              </w:rPr>
              <w:t>25:232</w:t>
            </w:r>
          </w:p>
        </w:tc>
        <w:tc>
          <w:tcPr>
            <w:tcW w:w="990" w:type="dxa"/>
          </w:tcPr>
          <w:p>
            <w:pPr>
              <w:rPr>
                <w:sz w:val="15"/>
                <w:szCs w:val="18"/>
              </w:rPr>
            </w:pPr>
            <w:r>
              <w:rPr>
                <w:sz w:val="15"/>
                <w:szCs w:val="18"/>
              </w:rPr>
              <w:t>13:36</w:t>
            </w:r>
          </w:p>
        </w:tc>
        <w:tc>
          <w:tcPr>
            <w:tcW w:w="633" w:type="dxa"/>
          </w:tcPr>
          <w:p>
            <w:pPr>
              <w:rPr>
                <w:sz w:val="15"/>
                <w:szCs w:val="18"/>
              </w:rPr>
            </w:pPr>
            <w:r>
              <w:rPr>
                <w:sz w:val="15"/>
                <w:szCs w:val="18"/>
              </w:rPr>
              <w:t>0.001*</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1511" w:type="dxa"/>
          </w:tcPr>
          <w:p>
            <w:pPr>
              <w:ind w:left="210" w:leftChars="100"/>
              <w:rPr>
                <w:sz w:val="15"/>
                <w:szCs w:val="18"/>
              </w:rPr>
            </w:pPr>
            <w:bookmarkStart w:id="6" w:name="OLE_LINK4"/>
            <w:bookmarkStart w:id="7" w:name="OLE_LINK5"/>
            <w:r>
              <w:rPr>
                <w:rFonts w:hint="eastAsia" w:ascii="宋体" w:hAnsi="宋体" w:eastAsia="宋体" w:cs="宋体"/>
                <w:sz w:val="15"/>
                <w:szCs w:val="18"/>
              </w:rPr>
              <w:t>是</w:t>
            </w:r>
            <w:r>
              <w:rPr>
                <w:sz w:val="15"/>
                <w:szCs w:val="18"/>
              </w:rPr>
              <w:t>/</w:t>
            </w:r>
            <w:r>
              <w:rPr>
                <w:rFonts w:hint="eastAsia" w:ascii="宋体" w:hAnsi="宋体" w:eastAsia="宋体" w:cs="宋体"/>
                <w:sz w:val="15"/>
                <w:szCs w:val="18"/>
              </w:rPr>
              <w:t>否血浆置换或丙种球蛋白</w:t>
            </w:r>
            <w:bookmarkEnd w:id="6"/>
            <w:bookmarkEnd w:id="7"/>
          </w:p>
        </w:tc>
        <w:tc>
          <w:tcPr>
            <w:tcW w:w="1022" w:type="dxa"/>
          </w:tcPr>
          <w:p>
            <w:pPr>
              <w:rPr>
                <w:sz w:val="15"/>
                <w:szCs w:val="18"/>
              </w:rPr>
            </w:pPr>
            <w:r>
              <w:rPr>
                <w:sz w:val="15"/>
                <w:szCs w:val="18"/>
              </w:rPr>
              <w:t>7:250</w:t>
            </w:r>
          </w:p>
        </w:tc>
        <w:tc>
          <w:tcPr>
            <w:tcW w:w="990" w:type="dxa"/>
          </w:tcPr>
          <w:p>
            <w:pPr>
              <w:rPr>
                <w:sz w:val="15"/>
                <w:szCs w:val="18"/>
              </w:rPr>
            </w:pPr>
            <w:r>
              <w:rPr>
                <w:sz w:val="15"/>
                <w:szCs w:val="18"/>
              </w:rPr>
              <w:t>10:39</w:t>
            </w:r>
          </w:p>
        </w:tc>
        <w:tc>
          <w:tcPr>
            <w:tcW w:w="633" w:type="dxa"/>
          </w:tcPr>
          <w:p>
            <w:pPr>
              <w:rPr>
                <w:sz w:val="15"/>
                <w:szCs w:val="18"/>
              </w:rPr>
            </w:pPr>
            <w:r>
              <w:rPr>
                <w:sz w:val="15"/>
                <w:szCs w:val="18"/>
              </w:rPr>
              <w:t>0.000*</w:t>
            </w:r>
          </w:p>
        </w:tc>
      </w:tr>
      <w:bookmarkEnd w:id="5"/>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Layout w:type="fixed"/>
        </w:tblPrEx>
        <w:tc>
          <w:tcPr>
            <w:tcW w:w="1511" w:type="dxa"/>
          </w:tcPr>
          <w:p>
            <w:pPr>
              <w:rPr>
                <w:sz w:val="15"/>
                <w:szCs w:val="18"/>
              </w:rPr>
            </w:pPr>
            <w:r>
              <w:rPr>
                <w:rFonts w:hint="eastAsia" w:ascii="宋体" w:hAnsi="宋体" w:eastAsia="宋体" w:cs="宋体"/>
                <w:sz w:val="15"/>
                <w:szCs w:val="18"/>
              </w:rPr>
              <w:t>前胸正中切口</w:t>
            </w:r>
            <w:r>
              <w:rPr>
                <w:sz w:val="15"/>
                <w:szCs w:val="18"/>
              </w:rPr>
              <w:t>:</w:t>
            </w:r>
            <w:r>
              <w:rPr>
                <w:rFonts w:hint="eastAsia" w:ascii="宋体" w:hAnsi="宋体" w:eastAsia="宋体" w:cs="宋体"/>
                <w:sz w:val="15"/>
                <w:szCs w:val="18"/>
              </w:rPr>
              <w:t>胸腔镜</w:t>
            </w:r>
          </w:p>
        </w:tc>
        <w:tc>
          <w:tcPr>
            <w:tcW w:w="1022" w:type="dxa"/>
          </w:tcPr>
          <w:p>
            <w:pPr>
              <w:rPr>
                <w:sz w:val="15"/>
                <w:szCs w:val="18"/>
              </w:rPr>
            </w:pPr>
            <w:r>
              <w:rPr>
                <w:sz w:val="15"/>
                <w:szCs w:val="18"/>
              </w:rPr>
              <w:t>228:29</w:t>
            </w:r>
          </w:p>
        </w:tc>
        <w:tc>
          <w:tcPr>
            <w:tcW w:w="990" w:type="dxa"/>
          </w:tcPr>
          <w:p>
            <w:pPr>
              <w:rPr>
                <w:sz w:val="15"/>
                <w:szCs w:val="18"/>
              </w:rPr>
            </w:pPr>
            <w:r>
              <w:rPr>
                <w:sz w:val="15"/>
                <w:szCs w:val="18"/>
              </w:rPr>
              <w:t>46:3</w:t>
            </w:r>
          </w:p>
        </w:tc>
        <w:tc>
          <w:tcPr>
            <w:tcW w:w="633" w:type="dxa"/>
          </w:tcPr>
          <w:p>
            <w:pPr>
              <w:rPr>
                <w:sz w:val="15"/>
                <w:szCs w:val="18"/>
              </w:rPr>
            </w:pPr>
            <w:r>
              <w:rPr>
                <w:sz w:val="15"/>
                <w:szCs w:val="18"/>
              </w:rPr>
              <w:t>0.408</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1511" w:type="dxa"/>
          </w:tcPr>
          <w:p>
            <w:pPr>
              <w:rPr>
                <w:sz w:val="15"/>
                <w:szCs w:val="18"/>
              </w:rPr>
            </w:pPr>
            <w:r>
              <w:rPr>
                <w:rFonts w:hint="eastAsia" w:ascii="宋体" w:hAnsi="宋体" w:eastAsia="宋体" w:cs="宋体"/>
                <w:sz w:val="15"/>
                <w:szCs w:val="18"/>
              </w:rPr>
              <w:t>胸腺瘤</w:t>
            </w:r>
          </w:p>
        </w:tc>
        <w:tc>
          <w:tcPr>
            <w:tcW w:w="1022" w:type="dxa"/>
          </w:tcPr>
          <w:p>
            <w:pPr>
              <w:rPr>
                <w:sz w:val="15"/>
                <w:szCs w:val="18"/>
              </w:rPr>
            </w:pPr>
            <w:r>
              <w:rPr>
                <w:sz w:val="15"/>
                <w:szCs w:val="18"/>
              </w:rPr>
              <w:t>136(52.92%)</w:t>
            </w:r>
          </w:p>
        </w:tc>
        <w:tc>
          <w:tcPr>
            <w:tcW w:w="990" w:type="dxa"/>
          </w:tcPr>
          <w:p>
            <w:pPr>
              <w:rPr>
                <w:sz w:val="15"/>
                <w:szCs w:val="18"/>
              </w:rPr>
            </w:pPr>
            <w:r>
              <w:rPr>
                <w:sz w:val="15"/>
                <w:szCs w:val="18"/>
              </w:rPr>
              <w:t>38</w:t>
            </w:r>
            <w:r>
              <w:rPr>
                <w:sz w:val="15"/>
                <w:szCs w:val="18"/>
              </w:rPr>
              <w:sym w:font="Wingdings" w:char="F04C"/>
            </w:r>
            <w:r>
              <w:rPr>
                <w:sz w:val="15"/>
                <w:szCs w:val="18"/>
              </w:rPr>
              <w:t>77.55%)</w:t>
            </w:r>
          </w:p>
        </w:tc>
        <w:tc>
          <w:tcPr>
            <w:tcW w:w="633" w:type="dxa"/>
          </w:tcPr>
          <w:p>
            <w:pPr>
              <w:rPr>
                <w:sz w:val="15"/>
                <w:szCs w:val="18"/>
              </w:rPr>
            </w:pPr>
            <w:r>
              <w:rPr>
                <w:sz w:val="15"/>
                <w:szCs w:val="18"/>
              </w:rPr>
              <w:t>0.002*</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1511" w:type="dxa"/>
          </w:tcPr>
          <w:p>
            <w:pPr>
              <w:rPr>
                <w:sz w:val="15"/>
                <w:szCs w:val="18"/>
              </w:rPr>
            </w:pPr>
            <w:r>
              <w:rPr>
                <w:rFonts w:hint="eastAsia" w:ascii="宋体" w:hAnsi="宋体" w:eastAsia="宋体" w:cs="宋体"/>
                <w:sz w:val="15"/>
                <w:szCs w:val="18"/>
              </w:rPr>
              <w:t>是</w:t>
            </w:r>
            <w:r>
              <w:rPr>
                <w:sz w:val="15"/>
                <w:szCs w:val="18"/>
              </w:rPr>
              <w:t>/</w:t>
            </w:r>
            <w:r>
              <w:rPr>
                <w:rFonts w:hint="eastAsia" w:ascii="宋体" w:hAnsi="宋体" w:eastAsia="宋体" w:cs="宋体"/>
                <w:sz w:val="15"/>
                <w:szCs w:val="18"/>
              </w:rPr>
              <w:t>否放疗</w:t>
            </w:r>
          </w:p>
        </w:tc>
        <w:tc>
          <w:tcPr>
            <w:tcW w:w="1022" w:type="dxa"/>
          </w:tcPr>
          <w:p>
            <w:pPr>
              <w:rPr>
                <w:sz w:val="15"/>
                <w:szCs w:val="18"/>
              </w:rPr>
            </w:pPr>
            <w:r>
              <w:rPr>
                <w:sz w:val="15"/>
                <w:szCs w:val="18"/>
              </w:rPr>
              <w:t>11:246</w:t>
            </w:r>
          </w:p>
        </w:tc>
        <w:tc>
          <w:tcPr>
            <w:tcW w:w="990" w:type="dxa"/>
          </w:tcPr>
          <w:p>
            <w:pPr>
              <w:rPr>
                <w:sz w:val="15"/>
                <w:szCs w:val="18"/>
              </w:rPr>
            </w:pPr>
            <w:r>
              <w:rPr>
                <w:sz w:val="15"/>
                <w:szCs w:val="18"/>
              </w:rPr>
              <w:t>4:45</w:t>
            </w:r>
          </w:p>
        </w:tc>
        <w:tc>
          <w:tcPr>
            <w:tcW w:w="633" w:type="dxa"/>
          </w:tcPr>
          <w:p>
            <w:pPr>
              <w:rPr>
                <w:sz w:val="15"/>
                <w:szCs w:val="18"/>
              </w:rPr>
            </w:pPr>
            <w:r>
              <w:rPr>
                <w:sz w:val="15"/>
                <w:szCs w:val="18"/>
              </w:rPr>
              <w:t>0.249</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1511" w:type="dxa"/>
          </w:tcPr>
          <w:p>
            <w:pPr>
              <w:rPr>
                <w:sz w:val="15"/>
                <w:szCs w:val="18"/>
              </w:rPr>
            </w:pPr>
            <w:r>
              <w:rPr>
                <w:rFonts w:hint="eastAsia" w:ascii="宋体" w:hAnsi="宋体" w:eastAsia="宋体" w:cs="宋体"/>
                <w:sz w:val="15"/>
                <w:szCs w:val="18"/>
              </w:rPr>
              <w:t>预后</w:t>
            </w:r>
          </w:p>
        </w:tc>
        <w:tc>
          <w:tcPr>
            <w:tcW w:w="1022" w:type="dxa"/>
          </w:tcPr>
          <w:p>
            <w:pPr>
              <w:rPr>
                <w:sz w:val="15"/>
                <w:szCs w:val="18"/>
              </w:rPr>
            </w:pPr>
          </w:p>
        </w:tc>
        <w:tc>
          <w:tcPr>
            <w:tcW w:w="990" w:type="dxa"/>
          </w:tcPr>
          <w:p>
            <w:pPr>
              <w:rPr>
                <w:sz w:val="15"/>
                <w:szCs w:val="18"/>
              </w:rPr>
            </w:pPr>
          </w:p>
        </w:tc>
        <w:tc>
          <w:tcPr>
            <w:tcW w:w="633" w:type="dxa"/>
          </w:tcPr>
          <w:p>
            <w:pPr>
              <w:rPr>
                <w:sz w:val="15"/>
                <w:szCs w:val="18"/>
              </w:rPr>
            </w:pPr>
            <w:r>
              <w:rPr>
                <w:rFonts w:hint="eastAsia"/>
                <w:sz w:val="15"/>
                <w:szCs w:val="18"/>
              </w:rPr>
              <w:t>0.109</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Layout w:type="fixed"/>
        </w:tblPrEx>
        <w:tc>
          <w:tcPr>
            <w:tcW w:w="1511" w:type="dxa"/>
          </w:tcPr>
          <w:p>
            <w:pPr>
              <w:ind w:left="210" w:leftChars="100"/>
              <w:rPr>
                <w:sz w:val="15"/>
                <w:szCs w:val="18"/>
              </w:rPr>
            </w:pPr>
            <w:r>
              <w:rPr>
                <w:rFonts w:hint="eastAsia" w:ascii="宋体" w:hAnsi="宋体" w:eastAsia="宋体" w:cs="宋体"/>
                <w:sz w:val="15"/>
                <w:szCs w:val="18"/>
              </w:rPr>
              <w:t>缓解</w:t>
            </w:r>
          </w:p>
        </w:tc>
        <w:tc>
          <w:tcPr>
            <w:tcW w:w="1022" w:type="dxa"/>
          </w:tcPr>
          <w:p>
            <w:pPr>
              <w:rPr>
                <w:sz w:val="15"/>
                <w:szCs w:val="18"/>
              </w:rPr>
            </w:pPr>
            <w:r>
              <w:rPr>
                <w:sz w:val="15"/>
                <w:szCs w:val="18"/>
              </w:rPr>
              <w:t>40(15.56%)</w:t>
            </w:r>
          </w:p>
        </w:tc>
        <w:tc>
          <w:tcPr>
            <w:tcW w:w="990" w:type="dxa"/>
          </w:tcPr>
          <w:p>
            <w:pPr>
              <w:rPr>
                <w:sz w:val="15"/>
                <w:szCs w:val="18"/>
              </w:rPr>
            </w:pPr>
            <w:r>
              <w:rPr>
                <w:sz w:val="15"/>
                <w:szCs w:val="18"/>
              </w:rPr>
              <w:t>3(6.12%)</w:t>
            </w:r>
          </w:p>
        </w:tc>
        <w:tc>
          <w:tcPr>
            <w:tcW w:w="633" w:type="dxa"/>
          </w:tcPr>
          <w:p>
            <w:pPr>
              <w:rPr>
                <w:sz w:val="15"/>
                <w:szCs w:val="18"/>
              </w:rPr>
            </w:pPr>
            <w:r>
              <w:rPr>
                <w:sz w:val="15"/>
                <w:szCs w:val="18"/>
              </w:rPr>
              <w:t>0.129</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1511" w:type="dxa"/>
          </w:tcPr>
          <w:p>
            <w:pPr>
              <w:ind w:left="210" w:leftChars="100"/>
              <w:rPr>
                <w:sz w:val="15"/>
                <w:szCs w:val="18"/>
              </w:rPr>
            </w:pPr>
            <w:r>
              <w:rPr>
                <w:rFonts w:hint="eastAsia" w:ascii="宋体" w:hAnsi="宋体" w:eastAsia="宋体" w:cs="宋体"/>
                <w:sz w:val="15"/>
                <w:szCs w:val="18"/>
              </w:rPr>
              <w:t>改善</w:t>
            </w:r>
          </w:p>
        </w:tc>
        <w:tc>
          <w:tcPr>
            <w:tcW w:w="1022" w:type="dxa"/>
          </w:tcPr>
          <w:p>
            <w:pPr>
              <w:rPr>
                <w:sz w:val="15"/>
                <w:szCs w:val="18"/>
              </w:rPr>
            </w:pPr>
            <w:r>
              <w:rPr>
                <w:sz w:val="15"/>
                <w:szCs w:val="18"/>
              </w:rPr>
              <w:t>144(56.03%)</w:t>
            </w:r>
          </w:p>
        </w:tc>
        <w:tc>
          <w:tcPr>
            <w:tcW w:w="990" w:type="dxa"/>
          </w:tcPr>
          <w:p>
            <w:pPr>
              <w:rPr>
                <w:sz w:val="15"/>
                <w:szCs w:val="18"/>
              </w:rPr>
            </w:pPr>
            <w:r>
              <w:rPr>
                <w:sz w:val="15"/>
                <w:szCs w:val="18"/>
              </w:rPr>
              <w:t>11(22.45%)</w:t>
            </w:r>
          </w:p>
        </w:tc>
        <w:tc>
          <w:tcPr>
            <w:tcW w:w="633" w:type="dxa"/>
          </w:tcPr>
          <w:p>
            <w:pPr>
              <w:rPr>
                <w:sz w:val="15"/>
                <w:szCs w:val="18"/>
              </w:rPr>
            </w:pPr>
            <w:r>
              <w:rPr>
                <w:sz w:val="15"/>
                <w:szCs w:val="18"/>
              </w:rPr>
              <w:t>0.000*</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1511" w:type="dxa"/>
          </w:tcPr>
          <w:p>
            <w:pPr>
              <w:ind w:left="210" w:leftChars="100"/>
              <w:rPr>
                <w:sz w:val="15"/>
                <w:szCs w:val="18"/>
              </w:rPr>
            </w:pPr>
            <w:r>
              <w:rPr>
                <w:rFonts w:hint="eastAsia" w:ascii="宋体" w:hAnsi="宋体" w:eastAsia="宋体" w:cs="宋体"/>
                <w:sz w:val="15"/>
                <w:szCs w:val="18"/>
              </w:rPr>
              <w:t>无变化</w:t>
            </w:r>
          </w:p>
        </w:tc>
        <w:tc>
          <w:tcPr>
            <w:tcW w:w="1022" w:type="dxa"/>
          </w:tcPr>
          <w:p>
            <w:pPr>
              <w:rPr>
                <w:sz w:val="15"/>
                <w:szCs w:val="18"/>
              </w:rPr>
            </w:pPr>
            <w:r>
              <w:rPr>
                <w:sz w:val="15"/>
                <w:szCs w:val="18"/>
              </w:rPr>
              <w:t>39(15.18%)</w:t>
            </w:r>
          </w:p>
        </w:tc>
        <w:tc>
          <w:tcPr>
            <w:tcW w:w="990" w:type="dxa"/>
          </w:tcPr>
          <w:p>
            <w:pPr>
              <w:rPr>
                <w:sz w:val="15"/>
                <w:szCs w:val="18"/>
              </w:rPr>
            </w:pPr>
            <w:r>
              <w:rPr>
                <w:sz w:val="15"/>
                <w:szCs w:val="18"/>
              </w:rPr>
              <w:t>7(14.29%)</w:t>
            </w:r>
          </w:p>
        </w:tc>
        <w:tc>
          <w:tcPr>
            <w:tcW w:w="633" w:type="dxa"/>
          </w:tcPr>
          <w:p>
            <w:pPr>
              <w:rPr>
                <w:sz w:val="15"/>
                <w:szCs w:val="18"/>
              </w:rPr>
            </w:pPr>
            <w:r>
              <w:rPr>
                <w:sz w:val="15"/>
                <w:szCs w:val="18"/>
              </w:rPr>
              <w:t>1.000</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1511" w:type="dxa"/>
          </w:tcPr>
          <w:p>
            <w:pPr>
              <w:ind w:left="210" w:leftChars="100"/>
              <w:rPr>
                <w:sz w:val="15"/>
                <w:szCs w:val="18"/>
              </w:rPr>
            </w:pPr>
            <w:r>
              <w:rPr>
                <w:rFonts w:hint="eastAsia" w:ascii="宋体" w:hAnsi="宋体" w:eastAsia="宋体" w:cs="宋体"/>
                <w:sz w:val="15"/>
                <w:szCs w:val="18"/>
              </w:rPr>
              <w:t>恶化</w:t>
            </w:r>
          </w:p>
        </w:tc>
        <w:tc>
          <w:tcPr>
            <w:tcW w:w="1022" w:type="dxa"/>
          </w:tcPr>
          <w:p>
            <w:pPr>
              <w:rPr>
                <w:sz w:val="15"/>
                <w:szCs w:val="18"/>
              </w:rPr>
            </w:pPr>
            <w:r>
              <w:rPr>
                <w:sz w:val="15"/>
                <w:szCs w:val="18"/>
              </w:rPr>
              <w:t>18(7.00%)</w:t>
            </w:r>
          </w:p>
        </w:tc>
        <w:tc>
          <w:tcPr>
            <w:tcW w:w="990" w:type="dxa"/>
          </w:tcPr>
          <w:p>
            <w:pPr>
              <w:rPr>
                <w:sz w:val="15"/>
                <w:szCs w:val="18"/>
              </w:rPr>
            </w:pPr>
            <w:r>
              <w:rPr>
                <w:sz w:val="15"/>
                <w:szCs w:val="18"/>
              </w:rPr>
              <w:t>11(22.45%)</w:t>
            </w:r>
          </w:p>
        </w:tc>
        <w:tc>
          <w:tcPr>
            <w:tcW w:w="633" w:type="dxa"/>
          </w:tcPr>
          <w:p>
            <w:pPr>
              <w:rPr>
                <w:sz w:val="15"/>
                <w:szCs w:val="18"/>
              </w:rPr>
            </w:pPr>
            <w:r>
              <w:rPr>
                <w:sz w:val="15"/>
                <w:szCs w:val="18"/>
              </w:rPr>
              <w:t>0.002*</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Layout w:type="fixed"/>
        </w:tblPrEx>
        <w:tc>
          <w:tcPr>
            <w:tcW w:w="1511" w:type="dxa"/>
          </w:tcPr>
          <w:p>
            <w:pPr>
              <w:ind w:left="210" w:leftChars="100"/>
              <w:rPr>
                <w:sz w:val="15"/>
                <w:szCs w:val="18"/>
              </w:rPr>
            </w:pPr>
            <w:r>
              <w:rPr>
                <w:rFonts w:hint="eastAsia" w:ascii="宋体" w:hAnsi="宋体" w:eastAsia="宋体" w:cs="宋体"/>
                <w:sz w:val="15"/>
                <w:szCs w:val="18"/>
              </w:rPr>
              <w:t>死亡</w:t>
            </w:r>
          </w:p>
        </w:tc>
        <w:tc>
          <w:tcPr>
            <w:tcW w:w="1022" w:type="dxa"/>
          </w:tcPr>
          <w:p>
            <w:pPr>
              <w:rPr>
                <w:sz w:val="15"/>
                <w:szCs w:val="18"/>
              </w:rPr>
            </w:pPr>
            <w:r>
              <w:rPr>
                <w:sz w:val="15"/>
                <w:szCs w:val="18"/>
              </w:rPr>
              <w:t>16(6.23%)</w:t>
            </w:r>
          </w:p>
        </w:tc>
        <w:tc>
          <w:tcPr>
            <w:tcW w:w="990" w:type="dxa"/>
          </w:tcPr>
          <w:p>
            <w:pPr>
              <w:rPr>
                <w:sz w:val="15"/>
                <w:szCs w:val="18"/>
              </w:rPr>
            </w:pPr>
            <w:r>
              <w:rPr>
                <w:sz w:val="15"/>
                <w:szCs w:val="18"/>
              </w:rPr>
              <w:t>17(34.69%)</w:t>
            </w:r>
          </w:p>
        </w:tc>
        <w:tc>
          <w:tcPr>
            <w:tcW w:w="633" w:type="dxa"/>
          </w:tcPr>
          <w:p>
            <w:pPr>
              <w:rPr>
                <w:sz w:val="15"/>
                <w:szCs w:val="18"/>
              </w:rPr>
            </w:pPr>
            <w:r>
              <w:rPr>
                <w:sz w:val="15"/>
                <w:szCs w:val="18"/>
              </w:rPr>
              <w:t>0.000*</w:t>
            </w:r>
          </w:p>
        </w:tc>
      </w:tr>
    </w:tbl>
    <w:p>
      <w:pPr>
        <w:autoSpaceDE w:val="0"/>
        <w:autoSpaceDN w:val="0"/>
        <w:adjustRightInd w:val="0"/>
        <w:jc w:val="left"/>
        <w:rPr>
          <w:rFonts w:cs="FranklinGothic-Demi" w:asciiTheme="majorEastAsia" w:hAnsiTheme="majorEastAsia" w:eastAsiaTheme="majorEastAsia"/>
          <w:kern w:val="0"/>
          <w:sz w:val="24"/>
          <w:szCs w:val="24"/>
        </w:rPr>
      </w:pPr>
    </w:p>
    <w:p>
      <w:pPr>
        <w:autoSpaceDE w:val="0"/>
        <w:autoSpaceDN w:val="0"/>
        <w:adjustRightInd w:val="0"/>
        <w:jc w:val="left"/>
        <w:rPr>
          <w:rFonts w:cs="FranklinGothic-Demi" w:asciiTheme="majorEastAsia" w:hAnsiTheme="majorEastAsia" w:eastAsiaTheme="majorEastAsia"/>
          <w:b/>
          <w:kern w:val="0"/>
          <w:sz w:val="24"/>
          <w:szCs w:val="24"/>
        </w:rPr>
      </w:pPr>
      <w:r>
        <w:rPr>
          <w:rFonts w:hint="eastAsia" w:cs="FranklinGothic-Demi" w:asciiTheme="majorEastAsia" w:hAnsiTheme="majorEastAsia" w:eastAsiaTheme="majorEastAsia"/>
          <w:b/>
          <w:kern w:val="0"/>
          <w:sz w:val="24"/>
          <w:szCs w:val="24"/>
        </w:rPr>
        <w:t>图1</w:t>
      </w:r>
    </w:p>
    <w:p>
      <w:pPr>
        <w:autoSpaceDE w:val="0"/>
        <w:autoSpaceDN w:val="0"/>
        <w:adjustRightInd w:val="0"/>
        <w:jc w:val="left"/>
        <w:rPr>
          <w:rFonts w:cs="FranklinGothic-Demi" w:asciiTheme="majorEastAsia" w:hAnsiTheme="majorEastAsia" w:eastAsiaTheme="majorEastAsia"/>
          <w:kern w:val="0"/>
          <w:sz w:val="24"/>
          <w:szCs w:val="24"/>
        </w:rPr>
      </w:pPr>
      <w:r>
        <w:rPr>
          <w:sz w:val="18"/>
          <w:szCs w:val="18"/>
        </w:rPr>
        <w:drawing>
          <wp:inline distT="0" distB="0" distL="0" distR="0">
            <wp:extent cx="2501900" cy="1544320"/>
            <wp:effectExtent l="0" t="0" r="0" b="0"/>
            <wp:docPr id="1" name="图片 1" descr="E:\MG病人统计资料\年龄时间资料.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E:\MG病人统计资料\年龄时间资料.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a:xfrm>
                      <a:off x="0" y="0"/>
                      <a:ext cx="2501900" cy="1544831"/>
                    </a:xfrm>
                    <a:prstGeom prst="rect">
                      <a:avLst/>
                    </a:prstGeom>
                    <a:noFill/>
                    <a:ln>
                      <a:noFill/>
                    </a:ln>
                  </pic:spPr>
                </pic:pic>
              </a:graphicData>
            </a:graphic>
          </wp:inline>
        </w:drawing>
      </w:r>
    </w:p>
    <w:p>
      <w:pPr>
        <w:autoSpaceDE w:val="0"/>
        <w:autoSpaceDN w:val="0"/>
        <w:adjustRightInd w:val="0"/>
        <w:jc w:val="left"/>
        <w:rPr>
          <w:rFonts w:cs="FranklinGothic-Demi" w:asciiTheme="majorEastAsia" w:hAnsiTheme="majorEastAsia" w:eastAsiaTheme="majorEastAsia"/>
          <w:kern w:val="0"/>
          <w:sz w:val="24"/>
          <w:szCs w:val="24"/>
        </w:rPr>
      </w:pPr>
    </w:p>
    <w:p>
      <w:pPr>
        <w:autoSpaceDE w:val="0"/>
        <w:autoSpaceDN w:val="0"/>
        <w:adjustRightInd w:val="0"/>
        <w:jc w:val="left"/>
        <w:rPr>
          <w:rFonts w:hint="eastAsia" w:cs="FranklinGothic-Demi" w:asciiTheme="majorEastAsia" w:hAnsiTheme="majorEastAsia" w:eastAsiaTheme="majorEastAsia"/>
          <w:b/>
          <w:kern w:val="0"/>
          <w:sz w:val="24"/>
          <w:szCs w:val="24"/>
        </w:rPr>
      </w:pPr>
    </w:p>
    <w:p>
      <w:pPr>
        <w:autoSpaceDE w:val="0"/>
        <w:autoSpaceDN w:val="0"/>
        <w:adjustRightInd w:val="0"/>
        <w:jc w:val="left"/>
        <w:rPr>
          <w:rFonts w:hint="eastAsia" w:cs="FranklinGothic-Demi" w:asciiTheme="majorEastAsia" w:hAnsiTheme="majorEastAsia" w:eastAsiaTheme="majorEastAsia"/>
          <w:b/>
          <w:kern w:val="0"/>
          <w:sz w:val="24"/>
          <w:szCs w:val="24"/>
        </w:rPr>
      </w:pPr>
    </w:p>
    <w:p>
      <w:pPr>
        <w:autoSpaceDE w:val="0"/>
        <w:autoSpaceDN w:val="0"/>
        <w:adjustRightInd w:val="0"/>
        <w:jc w:val="left"/>
        <w:rPr>
          <w:rFonts w:cs="FranklinGothic-Demi" w:asciiTheme="majorEastAsia" w:hAnsiTheme="majorEastAsia" w:eastAsiaTheme="majorEastAsia"/>
          <w:b/>
          <w:kern w:val="0"/>
          <w:sz w:val="24"/>
          <w:szCs w:val="24"/>
        </w:rPr>
      </w:pPr>
      <w:r>
        <w:rPr>
          <w:rFonts w:hint="eastAsia" w:cs="FranklinGothic-Demi" w:asciiTheme="majorEastAsia" w:hAnsiTheme="majorEastAsia" w:eastAsiaTheme="majorEastAsia"/>
          <w:b/>
          <w:kern w:val="0"/>
          <w:sz w:val="24"/>
          <w:szCs w:val="24"/>
        </w:rPr>
        <w:t>图2</w:t>
      </w:r>
    </w:p>
    <w:p>
      <w:pPr>
        <w:autoSpaceDE w:val="0"/>
        <w:autoSpaceDN w:val="0"/>
        <w:adjustRightInd w:val="0"/>
        <w:jc w:val="left"/>
        <w:rPr>
          <w:rFonts w:cs="FranklinGothic-Demi" w:asciiTheme="majorEastAsia" w:hAnsiTheme="majorEastAsia" w:eastAsiaTheme="majorEastAsia"/>
          <w:kern w:val="0"/>
          <w:sz w:val="24"/>
          <w:szCs w:val="24"/>
        </w:rPr>
      </w:pPr>
      <w:r>
        <w:rPr>
          <w:sz w:val="18"/>
          <w:szCs w:val="18"/>
        </w:rPr>
        <w:drawing>
          <wp:inline distT="0" distB="0" distL="0" distR="0">
            <wp:extent cx="2501900" cy="1394460"/>
            <wp:effectExtent l="0" t="0" r="0" b="0"/>
            <wp:docPr id="2" name="图片 2" descr="E:\MG病人统计资料\激素和吡斯的明用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E:\MG病人统计资料\激素和吡斯的明用量.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a:xfrm>
                      <a:off x="0" y="0"/>
                      <a:ext cx="2501900" cy="1395066"/>
                    </a:xfrm>
                    <a:prstGeom prst="rect">
                      <a:avLst/>
                    </a:prstGeom>
                    <a:noFill/>
                    <a:ln>
                      <a:noFill/>
                    </a:ln>
                  </pic:spPr>
                </pic:pic>
              </a:graphicData>
            </a:graphic>
          </wp:inline>
        </w:drawing>
      </w:r>
    </w:p>
    <w:p>
      <w:pPr>
        <w:autoSpaceDE w:val="0"/>
        <w:autoSpaceDN w:val="0"/>
        <w:adjustRightInd w:val="0"/>
        <w:jc w:val="left"/>
        <w:rPr>
          <w:rFonts w:cs="FranklinGothic-Demi" w:asciiTheme="majorEastAsia" w:hAnsiTheme="majorEastAsia" w:eastAsiaTheme="majorEastAsia"/>
          <w:kern w:val="0"/>
          <w:sz w:val="24"/>
          <w:szCs w:val="24"/>
        </w:rPr>
      </w:pPr>
    </w:p>
    <w:p>
      <w:pPr>
        <w:autoSpaceDE w:val="0"/>
        <w:autoSpaceDN w:val="0"/>
        <w:adjustRightInd w:val="0"/>
        <w:jc w:val="left"/>
        <w:rPr>
          <w:rFonts w:cs="FranklinGothic-Demi" w:asciiTheme="majorEastAsia" w:hAnsiTheme="majorEastAsia" w:eastAsiaTheme="majorEastAsia"/>
          <w:b/>
          <w:kern w:val="0"/>
          <w:sz w:val="24"/>
          <w:szCs w:val="24"/>
        </w:rPr>
      </w:pPr>
      <w:r>
        <w:rPr>
          <w:rFonts w:hint="eastAsia" w:cs="FranklinGothic-Demi" w:asciiTheme="majorEastAsia" w:hAnsiTheme="majorEastAsia" w:eastAsiaTheme="majorEastAsia"/>
          <w:b/>
          <w:kern w:val="0"/>
          <w:sz w:val="24"/>
          <w:szCs w:val="24"/>
        </w:rPr>
        <w:t>讨论</w:t>
      </w:r>
    </w:p>
    <w:p>
      <w:pPr>
        <w:autoSpaceDE w:val="0"/>
        <w:autoSpaceDN w:val="0"/>
        <w:adjustRightInd w:val="0"/>
        <w:ind w:firstLine="480" w:firstLineChars="200"/>
        <w:jc w:val="left"/>
        <w:rPr>
          <w:rFonts w:asciiTheme="majorEastAsia" w:hAnsiTheme="majorEastAsia" w:eastAsiaTheme="majorEastAsia"/>
          <w:sz w:val="24"/>
          <w:szCs w:val="24"/>
        </w:rPr>
      </w:pPr>
      <w:r>
        <w:rPr>
          <w:rFonts w:asciiTheme="majorEastAsia" w:hAnsiTheme="majorEastAsia" w:eastAsiaTheme="majorEastAsia"/>
          <w:sz w:val="24"/>
          <w:szCs w:val="24"/>
        </w:rPr>
        <w:t>肌无力危象目前仍然</w:t>
      </w:r>
      <w:r>
        <w:rPr>
          <w:rFonts w:hint="eastAsia" w:asciiTheme="majorEastAsia" w:hAnsiTheme="majorEastAsia" w:eastAsiaTheme="majorEastAsia"/>
          <w:sz w:val="24"/>
          <w:szCs w:val="24"/>
        </w:rPr>
        <w:t>MG患者死亡的主要原因之一，死亡率约为3%-8%</w:t>
      </w:r>
      <w:r>
        <w:rPr>
          <w:rFonts w:asciiTheme="majorEastAsia" w:hAnsiTheme="majorEastAsia" w:eastAsiaTheme="majorEastAsia"/>
          <w:sz w:val="24"/>
          <w:szCs w:val="24"/>
        </w:rPr>
        <w:fldChar w:fldCharType="begin"/>
      </w:r>
      <w:r>
        <w:rPr>
          <w:rFonts w:asciiTheme="majorEastAsia" w:hAnsiTheme="majorEastAsia" w:eastAsiaTheme="majorEastAsia"/>
          <w:sz w:val="24"/>
          <w:szCs w:val="24"/>
        </w:rPr>
        <w:instrText xml:space="preserve"> ADDIN NE.Ref.{72BDC464-5320-47E7-8D2A-98156CD9BE29}</w:instrText>
      </w:r>
      <w:r>
        <w:rPr>
          <w:rFonts w:asciiTheme="majorEastAsia" w:hAnsiTheme="majorEastAsia" w:eastAsiaTheme="majorEastAsia"/>
          <w:sz w:val="24"/>
          <w:szCs w:val="24"/>
        </w:rPr>
        <w:fldChar w:fldCharType="separate"/>
      </w:r>
      <w:r>
        <w:rPr>
          <w:rFonts w:ascii="宋体" w:eastAsia="宋体" w:cs="宋体"/>
          <w:color w:val="080000"/>
          <w:kern w:val="0"/>
          <w:sz w:val="24"/>
          <w:szCs w:val="24"/>
          <w:vertAlign w:val="superscript"/>
        </w:rPr>
        <w:t>[7]</w:t>
      </w:r>
      <w:r>
        <w:rPr>
          <w:rFonts w:asciiTheme="majorEastAsia" w:hAnsiTheme="majorEastAsia" w:eastAsiaTheme="majorEastAsia"/>
          <w:sz w:val="24"/>
          <w:szCs w:val="24"/>
        </w:rPr>
        <w:fldChar w:fldCharType="end"/>
      </w:r>
      <w:r>
        <w:rPr>
          <w:rFonts w:hint="eastAsia" w:asciiTheme="majorEastAsia" w:hAnsiTheme="majorEastAsia" w:eastAsiaTheme="majorEastAsia"/>
          <w:sz w:val="24"/>
          <w:szCs w:val="24"/>
        </w:rPr>
        <w:t>，</w:t>
      </w:r>
      <w:r>
        <w:rPr>
          <w:rFonts w:asciiTheme="majorEastAsia" w:hAnsiTheme="majorEastAsia" w:eastAsiaTheme="majorEastAsia"/>
          <w:sz w:val="24"/>
          <w:szCs w:val="24"/>
        </w:rPr>
        <w:t>而约</w:t>
      </w:r>
      <w:r>
        <w:rPr>
          <w:rFonts w:hint="eastAsia" w:asciiTheme="majorEastAsia" w:hAnsiTheme="majorEastAsia" w:eastAsiaTheme="majorEastAsia"/>
          <w:sz w:val="24"/>
          <w:szCs w:val="24"/>
        </w:rPr>
        <w:t>15-20%的MG患者一生中至少会发生1次肌无力危象</w:t>
      </w:r>
      <w:r>
        <w:rPr>
          <w:rFonts w:asciiTheme="majorEastAsia" w:hAnsiTheme="majorEastAsia" w:eastAsiaTheme="majorEastAsia"/>
          <w:sz w:val="24"/>
          <w:szCs w:val="24"/>
        </w:rPr>
        <w:fldChar w:fldCharType="begin"/>
      </w:r>
      <w:r>
        <w:rPr>
          <w:rFonts w:asciiTheme="majorEastAsia" w:hAnsiTheme="majorEastAsia" w:eastAsiaTheme="majorEastAsia"/>
          <w:sz w:val="24"/>
          <w:szCs w:val="24"/>
        </w:rPr>
        <w:instrText xml:space="preserve"> ADDIN NE.Ref.{8DF88CEC-062A-4629-B9CF-E860A4B91F8D}</w:instrText>
      </w:r>
      <w:r>
        <w:rPr>
          <w:rFonts w:asciiTheme="majorEastAsia" w:hAnsiTheme="majorEastAsia" w:eastAsiaTheme="majorEastAsia"/>
          <w:sz w:val="24"/>
          <w:szCs w:val="24"/>
        </w:rPr>
        <w:fldChar w:fldCharType="separate"/>
      </w:r>
      <w:r>
        <w:rPr>
          <w:rFonts w:ascii="宋体" w:eastAsia="宋体" w:cs="宋体"/>
          <w:color w:val="080000"/>
          <w:kern w:val="0"/>
          <w:sz w:val="24"/>
          <w:szCs w:val="24"/>
          <w:vertAlign w:val="superscript"/>
        </w:rPr>
        <w:t>[8]</w:t>
      </w:r>
      <w:r>
        <w:rPr>
          <w:rFonts w:asciiTheme="majorEastAsia" w:hAnsiTheme="majorEastAsia" w:eastAsiaTheme="majorEastAsia"/>
          <w:sz w:val="24"/>
          <w:szCs w:val="24"/>
        </w:rPr>
        <w:fldChar w:fldCharType="end"/>
      </w:r>
      <w:r>
        <w:rPr>
          <w:rFonts w:hint="eastAsia" w:asciiTheme="majorEastAsia" w:hAnsiTheme="majorEastAsia" w:eastAsiaTheme="majorEastAsia"/>
          <w:sz w:val="24"/>
          <w:szCs w:val="24"/>
        </w:rPr>
        <w:t>，</w:t>
      </w:r>
      <w:r>
        <w:rPr>
          <w:rFonts w:asciiTheme="majorEastAsia" w:hAnsiTheme="majorEastAsia" w:eastAsiaTheme="majorEastAsia"/>
          <w:sz w:val="24"/>
          <w:szCs w:val="24"/>
        </w:rPr>
        <w:t>严重影响了MG患者</w:t>
      </w:r>
      <w:r>
        <w:rPr>
          <w:rFonts w:hint="eastAsia" w:asciiTheme="majorEastAsia" w:hAnsiTheme="majorEastAsia" w:eastAsiaTheme="majorEastAsia"/>
          <w:sz w:val="24"/>
          <w:szCs w:val="24"/>
        </w:rPr>
        <w:t>的远期预后</w:t>
      </w:r>
      <w:r>
        <w:rPr>
          <w:rFonts w:hint="eastAsia" w:asciiTheme="majorEastAsia" w:hAnsiTheme="majorEastAsia" w:eastAsiaTheme="majorEastAsia"/>
          <w:color w:val="FF0000"/>
          <w:sz w:val="24"/>
          <w:szCs w:val="24"/>
        </w:rPr>
        <w:t>，这也是本回顾性研究进行长时间随访的目的所在，即对胸腺瘤切除术患者的远期预后进行分析预判</w:t>
      </w:r>
      <w:r>
        <w:rPr>
          <w:rFonts w:hint="eastAsia" w:asciiTheme="majorEastAsia" w:hAnsiTheme="majorEastAsia" w:eastAsiaTheme="majorEastAsia"/>
          <w:sz w:val="24"/>
          <w:szCs w:val="24"/>
        </w:rPr>
        <w:t>。</w:t>
      </w:r>
    </w:p>
    <w:p>
      <w:pPr>
        <w:autoSpaceDE w:val="0"/>
        <w:autoSpaceDN w:val="0"/>
        <w:adjustRightInd w:val="0"/>
        <w:jc w:val="left"/>
        <w:rPr>
          <w:rFonts w:asciiTheme="majorEastAsia" w:hAnsiTheme="majorEastAsia" w:eastAsiaTheme="majorEastAsia"/>
          <w:sz w:val="24"/>
          <w:szCs w:val="24"/>
        </w:rPr>
      </w:pPr>
      <w:r>
        <w:rPr>
          <w:rFonts w:hint="eastAsia" w:asciiTheme="majorEastAsia" w:hAnsiTheme="majorEastAsia" w:eastAsiaTheme="majorEastAsia"/>
          <w:sz w:val="24"/>
          <w:szCs w:val="24"/>
        </w:rPr>
        <w:t>目前普遍认为胸腺是MG患者的主要病因，介导了MG发病过程中的自身免疫过程，因此胸腺切除术被认为是治疗MG的重要方法</w:t>
      </w:r>
      <w:r>
        <w:rPr>
          <w:rFonts w:asciiTheme="majorEastAsia" w:hAnsiTheme="majorEastAsia" w:eastAsiaTheme="majorEastAsia"/>
          <w:sz w:val="24"/>
          <w:szCs w:val="24"/>
        </w:rPr>
        <w:fldChar w:fldCharType="begin"/>
      </w:r>
      <w:r>
        <w:rPr>
          <w:rFonts w:asciiTheme="majorEastAsia" w:hAnsiTheme="majorEastAsia" w:eastAsiaTheme="majorEastAsia"/>
          <w:sz w:val="24"/>
          <w:szCs w:val="24"/>
        </w:rPr>
        <w:instrText xml:space="preserve"> ADDIN NE.Ref.{75AA7A0B-3C4D-4B14-933E-A762E44070CC}</w:instrText>
      </w:r>
      <w:r>
        <w:rPr>
          <w:rFonts w:asciiTheme="majorEastAsia" w:hAnsiTheme="majorEastAsia" w:eastAsiaTheme="majorEastAsia"/>
          <w:sz w:val="24"/>
          <w:szCs w:val="24"/>
        </w:rPr>
        <w:fldChar w:fldCharType="separate"/>
      </w:r>
      <w:r>
        <w:rPr>
          <w:rFonts w:ascii="宋体" w:eastAsia="宋体" w:cs="宋体"/>
          <w:color w:val="080000"/>
          <w:kern w:val="0"/>
          <w:sz w:val="24"/>
          <w:szCs w:val="24"/>
          <w:vertAlign w:val="superscript"/>
        </w:rPr>
        <w:t>[9]</w:t>
      </w:r>
      <w:r>
        <w:rPr>
          <w:rFonts w:asciiTheme="majorEastAsia" w:hAnsiTheme="majorEastAsia" w:eastAsiaTheme="majorEastAsia"/>
          <w:sz w:val="24"/>
          <w:szCs w:val="24"/>
        </w:rPr>
        <w:fldChar w:fldCharType="end"/>
      </w:r>
      <w:r>
        <w:rPr>
          <w:rFonts w:hint="eastAsia" w:asciiTheme="majorEastAsia" w:hAnsiTheme="majorEastAsia" w:eastAsiaTheme="majorEastAsia"/>
          <w:sz w:val="24"/>
          <w:szCs w:val="24"/>
        </w:rPr>
        <w:t>。MG患者经历手术这一有创过程面临着许多挑战，诸如麻醉、创伤、术后气道管理等，手术本身可能诱发肌无力危象的发生，从而影响着患者的预后。因此还有许多问题亟待研究解决，比如非胸腺瘤的MG患者是否需要切除胸腺，或者进行了胸腺切除术的患者远期预后究竟如何，所以研究胸腺切除术的MG患者的并发症、远期预后及相关危险因素是十分必要的。</w:t>
      </w:r>
    </w:p>
    <w:p>
      <w:pPr>
        <w:autoSpaceDE w:val="0"/>
        <w:autoSpaceDN w:val="0"/>
        <w:adjustRightInd w:val="0"/>
        <w:ind w:firstLine="480" w:firstLineChars="200"/>
        <w:jc w:val="left"/>
        <w:rPr>
          <w:rFonts w:asciiTheme="majorEastAsia" w:hAnsiTheme="majorEastAsia" w:eastAsiaTheme="majorEastAsia"/>
          <w:sz w:val="24"/>
          <w:szCs w:val="24"/>
        </w:rPr>
      </w:pPr>
      <w:r>
        <w:rPr>
          <w:rFonts w:hint="eastAsia" w:asciiTheme="majorEastAsia" w:hAnsiTheme="majorEastAsia" w:eastAsiaTheme="majorEastAsia"/>
          <w:sz w:val="24"/>
          <w:szCs w:val="24"/>
        </w:rPr>
        <w:t>我们对本院1970年-2011年期间进行了胸腺切除术的306名MG患者进行了回顾分析，该样本中男女占比基本一致，包括了所有类型的MG患者。术后发生肌无力危象的患者有49名，占所有入组患者的16.01%，样本基本特征参照表1。通过卡方检验分析发现，在众多可能参与了PMC发生的因素中（表2），数种因素在术后非危象组和术后危象组的分布是具有统计学差异的。两组之间的性别比、术前治疗、手术方式、是否采用放疗、随访时间是没有明显差异的。随访时间的无差异提示该样本的抽样是比较合理的，性别比则提示性别可能不是PMC发生的相关因素。两组之间的发病年龄、手术年龄和病程均有统计学差异，术后危象组的发病年龄和手术年龄均较非危象组高，提示一定范围内高龄可能是MG患者术后发生肌无力危象的危险因素，但是术后危象组的病程却显著低于非危象组，可能在病程早期病情尚未稳定的时候进行胸腺切除术有可能促进PMC的发生，这提示选择进行胸腺切除术的时机需要进一步研究。术前MG患者的MGFA分型、吞咽肌是否受累及是否发生危象在两组之间的分布显著不同，这三者基本代表了MG患者病情类型本质和严重程度，与术后是否发生肌无力危象可能有着关联，其中术前发生危象在两组之间的比例分别为：术后非危象组10/257，术后危象组7/49，前者低于后者。</w:t>
      </w:r>
    </w:p>
    <w:p>
      <w:pPr>
        <w:autoSpaceDE w:val="0"/>
        <w:autoSpaceDN w:val="0"/>
        <w:adjustRightInd w:val="0"/>
        <w:ind w:firstLine="480" w:firstLineChars="200"/>
        <w:jc w:val="left"/>
        <w:rPr>
          <w:rFonts w:asciiTheme="majorEastAsia" w:hAnsiTheme="majorEastAsia" w:eastAsiaTheme="majorEastAsia"/>
          <w:sz w:val="24"/>
          <w:szCs w:val="24"/>
        </w:rPr>
      </w:pPr>
      <w:r>
        <w:rPr>
          <w:rFonts w:hint="eastAsia" w:asciiTheme="majorEastAsia" w:hAnsiTheme="majorEastAsia" w:eastAsiaTheme="majorEastAsia"/>
          <w:sz w:val="24"/>
          <w:szCs w:val="24"/>
        </w:rPr>
        <w:t>值得一提的是，术前的各种内科治疗，无论是激素、吡斯的明、免疫抑制剂、血浆置换或是丙种球蛋白的使用以及手术方式的选择，在两组之间均无统计学差异，提示术前的治疗及手术方式对于术后是否发生肌无力危象影响较小，这些治疗可能仅为改善了MG的临床症状，并未从病因上彻底解决病理生理机制中的自身免疫过程，PMC的发生本质上可能还是在于MG患者原发病情的类型；术后两组内科治疗方面基本具有统计学差异，包括激素用量、吡斯的明用量较大、使用了免疫抑制剂、血浆置换、丙种球蛋白等，因为术后发生肌无力危象基本上会相应采取上述内科治疗，这一部分的分析因果关系相对模糊，可能不具有实际预测价值。</w:t>
      </w:r>
    </w:p>
    <w:p>
      <w:pPr>
        <w:autoSpaceDE w:val="0"/>
        <w:autoSpaceDN w:val="0"/>
        <w:adjustRightInd w:val="0"/>
        <w:ind w:firstLine="480" w:firstLineChars="200"/>
        <w:jc w:val="left"/>
        <w:rPr>
          <w:rFonts w:asciiTheme="majorEastAsia" w:hAnsiTheme="majorEastAsia" w:eastAsiaTheme="majorEastAsia"/>
          <w:sz w:val="24"/>
          <w:szCs w:val="24"/>
        </w:rPr>
      </w:pPr>
      <w:r>
        <w:rPr>
          <w:rFonts w:asciiTheme="majorEastAsia" w:hAnsiTheme="majorEastAsia" w:eastAsiaTheme="majorEastAsia"/>
          <w:sz w:val="24"/>
          <w:szCs w:val="24"/>
        </w:rPr>
        <w:t>术后病理证实为胸腺瘤在两组之间也是存在显著差异的</w:t>
      </w:r>
      <w:r>
        <w:rPr>
          <w:rFonts w:hint="eastAsia" w:asciiTheme="majorEastAsia" w:hAnsiTheme="majorEastAsia" w:eastAsiaTheme="majorEastAsia"/>
          <w:sz w:val="24"/>
          <w:szCs w:val="24"/>
        </w:rPr>
        <w:t>，</w:t>
      </w:r>
      <w:r>
        <w:rPr>
          <w:rFonts w:asciiTheme="majorEastAsia" w:hAnsiTheme="majorEastAsia" w:eastAsiaTheme="majorEastAsia"/>
          <w:sz w:val="24"/>
          <w:szCs w:val="24"/>
        </w:rPr>
        <w:t>其中非危象组</w:t>
      </w:r>
      <w:r>
        <w:rPr>
          <w:rFonts w:hint="eastAsia" w:asciiTheme="majorEastAsia" w:hAnsiTheme="majorEastAsia" w:eastAsiaTheme="majorEastAsia"/>
          <w:sz w:val="24"/>
          <w:szCs w:val="24"/>
        </w:rPr>
        <w:t>52.92%&lt;危象组77.55%，提示病理类型亦可能是PMC的危象因素。两组之间术后是否进行了放疗则无明显差异。</w:t>
      </w:r>
    </w:p>
    <w:p>
      <w:pPr>
        <w:autoSpaceDE w:val="0"/>
        <w:autoSpaceDN w:val="0"/>
        <w:adjustRightInd w:val="0"/>
        <w:jc w:val="left"/>
        <w:rPr>
          <w:rFonts w:asciiTheme="majorEastAsia" w:hAnsiTheme="majorEastAsia" w:eastAsiaTheme="majorEastAsia"/>
          <w:sz w:val="24"/>
          <w:szCs w:val="24"/>
        </w:rPr>
      </w:pPr>
      <w:r>
        <w:rPr>
          <w:rFonts w:hint="eastAsia" w:asciiTheme="majorEastAsia" w:hAnsiTheme="majorEastAsia" w:eastAsiaTheme="majorEastAsia"/>
          <w:sz w:val="24"/>
          <w:szCs w:val="24"/>
        </w:rPr>
        <w:t>关于预后，可以看到两组在改善、恶化与死亡方面是具有统计学差异的。其中改善百分率：非危象组56.03%&gt;危象组22.45%，恶化百分率7.00%&lt;22.45%，死亡百分率6.23%&lt;34.69%。这提示术后是否发生危象与患者的远期预后是相关的，术后发生肌无力危象则提示预后不良。</w:t>
      </w:r>
    </w:p>
    <w:p>
      <w:pPr>
        <w:autoSpaceDE w:val="0"/>
        <w:autoSpaceDN w:val="0"/>
        <w:adjustRightInd w:val="0"/>
        <w:jc w:val="left"/>
        <w:rPr>
          <w:rFonts w:asciiTheme="majorEastAsia" w:hAnsiTheme="majorEastAsia" w:eastAsiaTheme="majorEastAsia"/>
          <w:sz w:val="24"/>
          <w:szCs w:val="24"/>
        </w:rPr>
      </w:pPr>
      <w:r>
        <w:rPr>
          <w:rFonts w:hint="eastAsia" w:asciiTheme="majorEastAsia" w:hAnsiTheme="majorEastAsia" w:eastAsiaTheme="majorEastAsia"/>
          <w:sz w:val="24"/>
          <w:szCs w:val="24"/>
        </w:rPr>
        <w:t>Logistic单因素回归分析提示发病年龄较大、手术年龄较大、术前发生危象、术前吞咽肌受累、确诊胸腺瘤是PMC的危险因素，而病程较长是PMC的保护因素。将上述因素引入Logistic多因素回归分析，校正各因素之间的混杂效应后，具有统计学差异的独立危险因素包括：术前吞咽肌受累、术前发生危象和确诊胸腺瘤。性别、术前激素、术前吡斯的明、手术方式及放疗均非可以预测PMC的危险因素。</w:t>
      </w:r>
    </w:p>
    <w:p>
      <w:pPr>
        <w:autoSpaceDE w:val="0"/>
        <w:autoSpaceDN w:val="0"/>
        <w:adjustRightInd w:val="0"/>
        <w:ind w:firstLine="480" w:firstLineChars="200"/>
        <w:jc w:val="left"/>
        <w:rPr>
          <w:rFonts w:asciiTheme="majorEastAsia" w:hAnsiTheme="majorEastAsia" w:eastAsiaTheme="majorEastAsia"/>
          <w:sz w:val="24"/>
          <w:szCs w:val="24"/>
        </w:rPr>
      </w:pPr>
      <w:r>
        <w:rPr>
          <w:rFonts w:asciiTheme="majorEastAsia" w:hAnsiTheme="majorEastAsia" w:eastAsiaTheme="majorEastAsia"/>
          <w:sz w:val="24"/>
          <w:szCs w:val="24"/>
        </w:rPr>
        <w:t>综合上述分析</w:t>
      </w:r>
      <w:r>
        <w:rPr>
          <w:rFonts w:hint="eastAsia" w:asciiTheme="majorEastAsia" w:hAnsiTheme="majorEastAsia" w:eastAsiaTheme="majorEastAsia"/>
          <w:sz w:val="24"/>
          <w:szCs w:val="24"/>
        </w:rPr>
        <w:t>，本研究显示：</w:t>
      </w:r>
      <w:r>
        <w:rPr>
          <w:rFonts w:asciiTheme="majorEastAsia" w:hAnsiTheme="majorEastAsia" w:eastAsiaTheme="majorEastAsia"/>
          <w:sz w:val="24"/>
          <w:szCs w:val="24"/>
        </w:rPr>
        <w:t>对于</w:t>
      </w:r>
      <w:r>
        <w:rPr>
          <w:rFonts w:hint="eastAsia" w:asciiTheme="majorEastAsia" w:hAnsiTheme="majorEastAsia" w:eastAsiaTheme="majorEastAsia"/>
          <w:sz w:val="24"/>
          <w:szCs w:val="24"/>
        </w:rPr>
        <w:t>PMC的预测上，</w:t>
      </w:r>
      <w:bookmarkStart w:id="8" w:name="OLE_LINK3"/>
      <w:bookmarkStart w:id="9" w:name="OLE_LINK9"/>
      <w:r>
        <w:rPr>
          <w:rFonts w:hint="eastAsia" w:asciiTheme="majorEastAsia" w:hAnsiTheme="majorEastAsia" w:eastAsiaTheme="majorEastAsia"/>
          <w:sz w:val="24"/>
          <w:szCs w:val="24"/>
        </w:rPr>
        <w:t>术前吞咽肌受累、术前发生危象、确诊胸腺瘤</w:t>
      </w:r>
      <w:bookmarkEnd w:id="8"/>
      <w:bookmarkEnd w:id="9"/>
      <w:r>
        <w:rPr>
          <w:rFonts w:hint="eastAsia" w:asciiTheme="majorEastAsia" w:hAnsiTheme="majorEastAsia" w:eastAsiaTheme="majorEastAsia"/>
          <w:sz w:val="24"/>
          <w:szCs w:val="24"/>
        </w:rPr>
        <w:t>是三个最关键的独立危险因素，这与既往文献</w:t>
      </w:r>
      <w:r>
        <w:rPr>
          <w:rFonts w:asciiTheme="majorEastAsia" w:hAnsiTheme="majorEastAsia" w:eastAsiaTheme="majorEastAsia"/>
          <w:sz w:val="24"/>
          <w:szCs w:val="24"/>
        </w:rPr>
        <w:fldChar w:fldCharType="begin"/>
      </w:r>
      <w:r>
        <w:rPr>
          <w:rFonts w:asciiTheme="majorEastAsia" w:hAnsiTheme="majorEastAsia" w:eastAsiaTheme="majorEastAsia"/>
          <w:sz w:val="24"/>
          <w:szCs w:val="24"/>
        </w:rPr>
        <w:instrText xml:space="preserve"> ADDIN NE.Ref.{3F3D6D0D-B356-4229-A88D-3626A054A553}</w:instrText>
      </w:r>
      <w:r>
        <w:rPr>
          <w:rFonts w:asciiTheme="majorEastAsia" w:hAnsiTheme="majorEastAsia" w:eastAsiaTheme="majorEastAsia"/>
          <w:sz w:val="24"/>
          <w:szCs w:val="24"/>
        </w:rPr>
        <w:fldChar w:fldCharType="separate"/>
      </w:r>
      <w:r>
        <w:rPr>
          <w:rFonts w:ascii="宋体" w:eastAsia="宋体" w:cs="宋体"/>
          <w:color w:val="080000"/>
          <w:kern w:val="0"/>
          <w:sz w:val="24"/>
          <w:szCs w:val="24"/>
          <w:vertAlign w:val="superscript"/>
        </w:rPr>
        <w:t>[10-12]</w:t>
      </w:r>
      <w:r>
        <w:rPr>
          <w:rFonts w:asciiTheme="majorEastAsia" w:hAnsiTheme="majorEastAsia" w:eastAsiaTheme="majorEastAsia"/>
          <w:sz w:val="24"/>
          <w:szCs w:val="24"/>
        </w:rPr>
        <w:fldChar w:fldCharType="end"/>
      </w:r>
      <w:r>
        <w:rPr>
          <w:rFonts w:hint="eastAsia" w:asciiTheme="majorEastAsia" w:hAnsiTheme="majorEastAsia" w:eastAsiaTheme="majorEastAsia"/>
          <w:sz w:val="24"/>
          <w:szCs w:val="24"/>
        </w:rPr>
        <w:t>报道中是部分吻合的，这三项因素可以反映MG患者病情的本质类型，包括MGFA分型在非危象组与危象组之间的分布差异，均可佐证MG患者本身病情的类型和严重程度才是PMC是否发生的关键，具有较高的预测价值。</w:t>
      </w:r>
      <w:r>
        <w:rPr>
          <w:rFonts w:hint="eastAsia" w:asciiTheme="majorEastAsia" w:hAnsiTheme="majorEastAsia" w:eastAsiaTheme="majorEastAsia"/>
          <w:color w:val="FF0000"/>
          <w:sz w:val="24"/>
          <w:szCs w:val="24"/>
        </w:rPr>
        <w:t>确诊胸腺瘤是本文首次提到的独立危险因素。</w:t>
      </w:r>
      <w:r>
        <w:rPr>
          <w:rFonts w:hint="eastAsia" w:asciiTheme="majorEastAsia" w:hAnsiTheme="majorEastAsia" w:eastAsiaTheme="majorEastAsia"/>
          <w:sz w:val="24"/>
          <w:szCs w:val="24"/>
        </w:rPr>
        <w:t>本研究中患者的年龄及手术选择的时机可能为PMC发生的非独立危险因素，因此推荐MG患者需在当前病情控制稳定时再考虑行胸腺切除术。MG患者术前给予内科药物治疗及血浆置换等方法，在本研究分析中与PMC相关性较低，这在一定程度上表明，药物控制MG病情，并不能改变MG患者病情累及的范围和本质，但在控制病情程度以更好地准备术前状态方面，确实是临床实践中的经验，因此需要更大样本的多中心随机对照研究以反复验证药物治疗与PMC的相关性。</w:t>
      </w:r>
      <w:r>
        <w:rPr>
          <w:rFonts w:hint="eastAsia" w:asciiTheme="majorEastAsia" w:hAnsiTheme="majorEastAsia" w:eastAsiaTheme="majorEastAsia"/>
          <w:color w:val="FF0000"/>
          <w:sz w:val="24"/>
          <w:szCs w:val="24"/>
        </w:rPr>
        <w:t>在既往文献报道中，还提到过其他独立危险因素，包括：抗乙酰胆碱受体抗体的滴度</w:t>
      </w:r>
      <w:r>
        <w:rPr>
          <w:rFonts w:asciiTheme="majorEastAsia" w:hAnsiTheme="majorEastAsia" w:eastAsiaTheme="majorEastAsia"/>
          <w:color w:val="FF0000"/>
          <w:sz w:val="24"/>
          <w:szCs w:val="24"/>
        </w:rPr>
        <w:fldChar w:fldCharType="begin"/>
      </w:r>
      <w:r>
        <w:rPr>
          <w:rFonts w:asciiTheme="majorEastAsia" w:hAnsiTheme="majorEastAsia" w:eastAsiaTheme="majorEastAsia"/>
          <w:color w:val="FF0000"/>
          <w:sz w:val="24"/>
          <w:szCs w:val="24"/>
        </w:rPr>
        <w:instrText xml:space="preserve"> ADDIN NE.Ref.{E4699F99-77FE-4A9D-9A70-870D63686CB5}</w:instrText>
      </w:r>
      <w:r>
        <w:rPr>
          <w:rFonts w:asciiTheme="majorEastAsia" w:hAnsiTheme="majorEastAsia" w:eastAsiaTheme="majorEastAsia"/>
          <w:color w:val="FF0000"/>
          <w:sz w:val="24"/>
          <w:szCs w:val="24"/>
        </w:rPr>
        <w:fldChar w:fldCharType="separate"/>
      </w:r>
      <w:r>
        <w:rPr>
          <w:rFonts w:ascii="宋体" w:eastAsia="宋体" w:cs="宋体"/>
          <w:color w:val="080000"/>
          <w:kern w:val="0"/>
          <w:sz w:val="24"/>
          <w:szCs w:val="24"/>
          <w:vertAlign w:val="superscript"/>
        </w:rPr>
        <w:t>[13]</w:t>
      </w:r>
      <w:r>
        <w:rPr>
          <w:rFonts w:asciiTheme="majorEastAsia" w:hAnsiTheme="majorEastAsia" w:eastAsiaTheme="majorEastAsia"/>
          <w:color w:val="FF0000"/>
          <w:sz w:val="24"/>
          <w:szCs w:val="24"/>
        </w:rPr>
        <w:fldChar w:fldCharType="end"/>
      </w:r>
      <w:r>
        <w:rPr>
          <w:rFonts w:hint="eastAsia" w:asciiTheme="majorEastAsia" w:hAnsiTheme="majorEastAsia" w:eastAsiaTheme="majorEastAsia"/>
          <w:color w:val="FF0000"/>
          <w:sz w:val="24"/>
          <w:szCs w:val="24"/>
        </w:rPr>
        <w:t>、术中出血量</w:t>
      </w:r>
      <w:r>
        <w:rPr>
          <w:rFonts w:asciiTheme="majorEastAsia" w:hAnsiTheme="majorEastAsia" w:eastAsiaTheme="majorEastAsia"/>
          <w:color w:val="FF0000"/>
          <w:sz w:val="24"/>
          <w:szCs w:val="24"/>
        </w:rPr>
        <w:fldChar w:fldCharType="begin"/>
      </w:r>
      <w:r>
        <w:rPr>
          <w:rFonts w:asciiTheme="majorEastAsia" w:hAnsiTheme="majorEastAsia" w:eastAsiaTheme="majorEastAsia"/>
          <w:color w:val="FF0000"/>
          <w:sz w:val="24"/>
          <w:szCs w:val="24"/>
        </w:rPr>
        <w:instrText xml:space="preserve"> ADDIN NE.Ref.{248DD059-201F-41D9-BB88-68EBA01AD861}</w:instrText>
      </w:r>
      <w:r>
        <w:rPr>
          <w:rFonts w:asciiTheme="majorEastAsia" w:hAnsiTheme="majorEastAsia" w:eastAsiaTheme="majorEastAsia"/>
          <w:color w:val="FF0000"/>
          <w:sz w:val="24"/>
          <w:szCs w:val="24"/>
        </w:rPr>
        <w:fldChar w:fldCharType="separate"/>
      </w:r>
      <w:r>
        <w:rPr>
          <w:rFonts w:ascii="宋体" w:eastAsia="宋体" w:cs="宋体"/>
          <w:color w:val="080000"/>
          <w:kern w:val="0"/>
          <w:sz w:val="24"/>
          <w:szCs w:val="24"/>
          <w:vertAlign w:val="superscript"/>
        </w:rPr>
        <w:t>[13]</w:t>
      </w:r>
      <w:r>
        <w:rPr>
          <w:rFonts w:asciiTheme="majorEastAsia" w:hAnsiTheme="majorEastAsia" w:eastAsiaTheme="majorEastAsia"/>
          <w:color w:val="FF0000"/>
          <w:sz w:val="24"/>
          <w:szCs w:val="24"/>
        </w:rPr>
        <w:fldChar w:fldCharType="end"/>
      </w:r>
      <w:r>
        <w:rPr>
          <w:rFonts w:hint="eastAsia" w:asciiTheme="majorEastAsia" w:hAnsiTheme="majorEastAsia" w:eastAsiaTheme="majorEastAsia"/>
          <w:color w:val="FF0000"/>
          <w:sz w:val="24"/>
          <w:szCs w:val="24"/>
        </w:rPr>
        <w:t>、</w:t>
      </w:r>
      <w:r>
        <w:rPr>
          <w:rFonts w:asciiTheme="majorEastAsia" w:hAnsiTheme="majorEastAsia" w:eastAsiaTheme="majorEastAsia"/>
          <w:color w:val="FF0000"/>
          <w:sz w:val="24"/>
          <w:szCs w:val="24"/>
        </w:rPr>
        <w:t>手术时长</w:t>
      </w:r>
      <w:r>
        <w:rPr>
          <w:rFonts w:asciiTheme="majorEastAsia" w:hAnsiTheme="majorEastAsia" w:eastAsiaTheme="majorEastAsia"/>
          <w:color w:val="FF0000"/>
          <w:sz w:val="24"/>
          <w:szCs w:val="24"/>
        </w:rPr>
        <w:fldChar w:fldCharType="begin"/>
      </w:r>
      <w:r>
        <w:rPr>
          <w:rFonts w:asciiTheme="majorEastAsia" w:hAnsiTheme="majorEastAsia" w:eastAsiaTheme="majorEastAsia"/>
          <w:color w:val="FF0000"/>
          <w:sz w:val="24"/>
          <w:szCs w:val="24"/>
        </w:rPr>
        <w:instrText xml:space="preserve"> ADDIN NE.Ref.{0D167E7D-BB16-4956-95E5-D99071BA2108}</w:instrText>
      </w:r>
      <w:r>
        <w:rPr>
          <w:rFonts w:asciiTheme="majorEastAsia" w:hAnsiTheme="majorEastAsia" w:eastAsiaTheme="majorEastAsia"/>
          <w:color w:val="FF0000"/>
          <w:sz w:val="24"/>
          <w:szCs w:val="24"/>
        </w:rPr>
        <w:fldChar w:fldCharType="separate"/>
      </w:r>
      <w:r>
        <w:rPr>
          <w:rFonts w:ascii="宋体" w:eastAsia="宋体" w:cs="宋体"/>
          <w:color w:val="080000"/>
          <w:kern w:val="0"/>
          <w:sz w:val="24"/>
          <w:szCs w:val="24"/>
          <w:vertAlign w:val="superscript"/>
        </w:rPr>
        <w:t>[14]</w:t>
      </w:r>
      <w:r>
        <w:rPr>
          <w:rFonts w:asciiTheme="majorEastAsia" w:hAnsiTheme="majorEastAsia" w:eastAsiaTheme="majorEastAsia"/>
          <w:color w:val="FF0000"/>
          <w:sz w:val="24"/>
          <w:szCs w:val="24"/>
        </w:rPr>
        <w:fldChar w:fldCharType="end"/>
      </w:r>
      <w:r>
        <w:rPr>
          <w:rFonts w:hint="eastAsia" w:asciiTheme="majorEastAsia" w:hAnsiTheme="majorEastAsia" w:eastAsiaTheme="majorEastAsia"/>
          <w:color w:val="FF0000"/>
          <w:sz w:val="24"/>
          <w:szCs w:val="24"/>
        </w:rPr>
        <w:t>、</w:t>
      </w:r>
      <w:r>
        <w:rPr>
          <w:rFonts w:asciiTheme="majorEastAsia" w:hAnsiTheme="majorEastAsia" w:eastAsiaTheme="majorEastAsia"/>
          <w:color w:val="FF0000"/>
          <w:sz w:val="24"/>
          <w:szCs w:val="24"/>
        </w:rPr>
        <w:t>Osserman分型</w:t>
      </w:r>
      <w:r>
        <w:rPr>
          <w:rFonts w:hint="eastAsia" w:asciiTheme="majorEastAsia" w:hAnsiTheme="majorEastAsia" w:eastAsiaTheme="majorEastAsia"/>
          <w:color w:val="FF0000"/>
          <w:sz w:val="24"/>
          <w:szCs w:val="24"/>
        </w:rPr>
        <w:t>、BMI&gt;28、症状持续&gt;2年</w:t>
      </w:r>
      <w:r>
        <w:rPr>
          <w:rFonts w:asciiTheme="majorEastAsia" w:hAnsiTheme="majorEastAsia" w:eastAsiaTheme="majorEastAsia"/>
          <w:color w:val="FF0000"/>
          <w:sz w:val="24"/>
          <w:szCs w:val="24"/>
        </w:rPr>
        <w:fldChar w:fldCharType="begin"/>
      </w:r>
      <w:r>
        <w:rPr>
          <w:rFonts w:asciiTheme="majorEastAsia" w:hAnsiTheme="majorEastAsia" w:eastAsiaTheme="majorEastAsia"/>
          <w:color w:val="FF0000"/>
          <w:sz w:val="24"/>
          <w:szCs w:val="24"/>
        </w:rPr>
        <w:instrText xml:space="preserve"> ADDIN NE.Ref.{30A1F338-857A-41DE-B03E-7E4D5F027B59}</w:instrText>
      </w:r>
      <w:r>
        <w:rPr>
          <w:rFonts w:asciiTheme="majorEastAsia" w:hAnsiTheme="majorEastAsia" w:eastAsiaTheme="majorEastAsia"/>
          <w:color w:val="FF0000"/>
          <w:sz w:val="24"/>
          <w:szCs w:val="24"/>
        </w:rPr>
        <w:fldChar w:fldCharType="separate"/>
      </w:r>
      <w:r>
        <w:rPr>
          <w:rFonts w:ascii="宋体" w:eastAsia="宋体" w:cs="宋体"/>
          <w:color w:val="080000"/>
          <w:kern w:val="0"/>
          <w:sz w:val="24"/>
          <w:szCs w:val="24"/>
          <w:vertAlign w:val="superscript"/>
        </w:rPr>
        <w:t>[15]</w:t>
      </w:r>
      <w:r>
        <w:rPr>
          <w:rFonts w:asciiTheme="majorEastAsia" w:hAnsiTheme="majorEastAsia" w:eastAsiaTheme="majorEastAsia"/>
          <w:color w:val="FF0000"/>
          <w:sz w:val="24"/>
          <w:szCs w:val="24"/>
        </w:rPr>
        <w:fldChar w:fldCharType="end"/>
      </w:r>
      <w:r>
        <w:rPr>
          <w:rFonts w:hint="eastAsia" w:asciiTheme="majorEastAsia" w:hAnsiTheme="majorEastAsia" w:eastAsiaTheme="majorEastAsia"/>
          <w:color w:val="FF0000"/>
          <w:sz w:val="24"/>
          <w:szCs w:val="24"/>
        </w:rPr>
        <w:t>、溴吡斯的明用量&gt;360mg/day、术后肺部感染</w:t>
      </w:r>
      <w:r>
        <w:rPr>
          <w:rFonts w:asciiTheme="majorEastAsia" w:hAnsiTheme="majorEastAsia" w:eastAsiaTheme="majorEastAsia"/>
          <w:color w:val="FF0000"/>
          <w:sz w:val="24"/>
          <w:szCs w:val="24"/>
        </w:rPr>
        <w:fldChar w:fldCharType="begin"/>
      </w:r>
      <w:r>
        <w:rPr>
          <w:rFonts w:asciiTheme="majorEastAsia" w:hAnsiTheme="majorEastAsia" w:eastAsiaTheme="majorEastAsia"/>
          <w:color w:val="FF0000"/>
          <w:sz w:val="24"/>
          <w:szCs w:val="24"/>
        </w:rPr>
        <w:instrText xml:space="preserve"> ADDIN NE.Ref.{0DB77169-A46F-467A-A7B1-8DEE165181A3}</w:instrText>
      </w:r>
      <w:r>
        <w:rPr>
          <w:rFonts w:asciiTheme="majorEastAsia" w:hAnsiTheme="majorEastAsia" w:eastAsiaTheme="majorEastAsia"/>
          <w:color w:val="FF0000"/>
          <w:sz w:val="24"/>
          <w:szCs w:val="24"/>
        </w:rPr>
        <w:fldChar w:fldCharType="separate"/>
      </w:r>
      <w:r>
        <w:rPr>
          <w:rFonts w:ascii="宋体" w:eastAsia="宋体" w:cs="宋体"/>
          <w:color w:val="080000"/>
          <w:kern w:val="0"/>
          <w:sz w:val="24"/>
          <w:szCs w:val="24"/>
          <w:vertAlign w:val="superscript"/>
        </w:rPr>
        <w:t>[11, 16]</w:t>
      </w:r>
      <w:r>
        <w:rPr>
          <w:rFonts w:asciiTheme="majorEastAsia" w:hAnsiTheme="majorEastAsia" w:eastAsiaTheme="majorEastAsia"/>
          <w:color w:val="FF0000"/>
          <w:sz w:val="24"/>
          <w:szCs w:val="24"/>
        </w:rPr>
        <w:fldChar w:fldCharType="end"/>
      </w:r>
      <w:r>
        <w:rPr>
          <w:rFonts w:hint="eastAsia" w:asciiTheme="majorEastAsia" w:hAnsiTheme="majorEastAsia" w:eastAsiaTheme="majorEastAsia"/>
          <w:color w:val="FF0000"/>
          <w:sz w:val="24"/>
          <w:szCs w:val="24"/>
        </w:rPr>
        <w:t>、术前焦虑状态</w:t>
      </w:r>
      <w:r>
        <w:rPr>
          <w:rFonts w:asciiTheme="majorEastAsia" w:hAnsiTheme="majorEastAsia" w:eastAsiaTheme="majorEastAsia"/>
          <w:color w:val="FF0000"/>
          <w:sz w:val="24"/>
          <w:szCs w:val="24"/>
        </w:rPr>
        <w:fldChar w:fldCharType="begin"/>
      </w:r>
      <w:r>
        <w:rPr>
          <w:rFonts w:asciiTheme="majorEastAsia" w:hAnsiTheme="majorEastAsia" w:eastAsiaTheme="majorEastAsia"/>
          <w:color w:val="FF0000"/>
          <w:sz w:val="24"/>
          <w:szCs w:val="24"/>
        </w:rPr>
        <w:instrText xml:space="preserve"> ADDIN NE.Ref.{59EE724D-91D3-481F-AA40-8CB66A03CCB2}</w:instrText>
      </w:r>
      <w:r>
        <w:rPr>
          <w:rFonts w:asciiTheme="majorEastAsia" w:hAnsiTheme="majorEastAsia" w:eastAsiaTheme="majorEastAsia"/>
          <w:color w:val="FF0000"/>
          <w:sz w:val="24"/>
          <w:szCs w:val="24"/>
        </w:rPr>
        <w:fldChar w:fldCharType="separate"/>
      </w:r>
      <w:r>
        <w:rPr>
          <w:rFonts w:ascii="宋体" w:eastAsia="宋体" w:cs="宋体"/>
          <w:color w:val="080000"/>
          <w:kern w:val="0"/>
          <w:sz w:val="24"/>
          <w:szCs w:val="24"/>
          <w:vertAlign w:val="superscript"/>
        </w:rPr>
        <w:t>[16]</w:t>
      </w:r>
      <w:r>
        <w:rPr>
          <w:rFonts w:asciiTheme="majorEastAsia" w:hAnsiTheme="majorEastAsia" w:eastAsiaTheme="majorEastAsia"/>
          <w:color w:val="FF0000"/>
          <w:sz w:val="24"/>
          <w:szCs w:val="24"/>
        </w:rPr>
        <w:fldChar w:fldCharType="end"/>
      </w:r>
      <w:r>
        <w:rPr>
          <w:rFonts w:hint="eastAsia" w:asciiTheme="majorEastAsia" w:hAnsiTheme="majorEastAsia" w:eastAsiaTheme="majorEastAsia"/>
          <w:color w:val="FF0000"/>
          <w:sz w:val="24"/>
          <w:szCs w:val="24"/>
        </w:rPr>
        <w:t>等，这些不同的独立危险因素均有一定的提示意义，在不同研究中存在不一致的结论，提示在这些回顾性研究的基础上有必要进行队列研究或纳入更多考虑因素的回顾性研究以排除混杂因素的影响。</w:t>
      </w:r>
    </w:p>
    <w:p>
      <w:pPr>
        <w:autoSpaceDE w:val="0"/>
        <w:autoSpaceDN w:val="0"/>
        <w:adjustRightInd w:val="0"/>
        <w:jc w:val="left"/>
        <w:rPr>
          <w:rFonts w:cs="FranklinGothic-Demi" w:asciiTheme="majorEastAsia" w:hAnsiTheme="majorEastAsia" w:eastAsiaTheme="majorEastAsia"/>
          <w:b/>
          <w:kern w:val="0"/>
          <w:sz w:val="24"/>
          <w:szCs w:val="24"/>
        </w:rPr>
      </w:pPr>
      <w:r>
        <w:rPr>
          <w:rFonts w:cs="FranklinGothic-Demi" w:asciiTheme="majorEastAsia" w:hAnsiTheme="majorEastAsia" w:eastAsiaTheme="majorEastAsia"/>
          <w:b/>
          <w:kern w:val="0"/>
          <w:sz w:val="24"/>
          <w:szCs w:val="24"/>
        </w:rPr>
        <w:t>表</w:t>
      </w:r>
      <w:r>
        <w:rPr>
          <w:rFonts w:hint="eastAsia" w:cs="FranklinGothic-Demi" w:asciiTheme="majorEastAsia" w:hAnsiTheme="majorEastAsia" w:eastAsiaTheme="majorEastAsia"/>
          <w:b/>
          <w:kern w:val="0"/>
          <w:sz w:val="24"/>
          <w:szCs w:val="24"/>
        </w:rPr>
        <w:t>3</w:t>
      </w:r>
    </w:p>
    <w:tbl>
      <w:tblPr>
        <w:tblStyle w:val="7"/>
        <w:tblW w:w="4156" w:type="dxa"/>
        <w:tblInd w:w="0" w:type="dxa"/>
        <w:tblBorders>
          <w:top w:val="single" w:color="auto" w:sz="4" w:space="0"/>
          <w:left w:val="none" w:color="auto" w:sz="0" w:space="0"/>
          <w:bottom w:val="single" w:color="auto" w:sz="4"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889"/>
        <w:gridCol w:w="580"/>
        <w:gridCol w:w="1054"/>
        <w:gridCol w:w="633"/>
      </w:tblGrid>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17" w:hRule="atLeast"/>
        </w:trPr>
        <w:tc>
          <w:tcPr>
            <w:tcW w:w="1889" w:type="dxa"/>
            <w:tcBorders>
              <w:top w:val="single" w:color="auto" w:sz="4" w:space="0"/>
              <w:bottom w:val="single" w:color="auto" w:sz="4" w:space="0"/>
            </w:tcBorders>
          </w:tcPr>
          <w:p>
            <w:pPr>
              <w:rPr>
                <w:sz w:val="15"/>
                <w:szCs w:val="18"/>
              </w:rPr>
            </w:pPr>
            <w:r>
              <w:rPr>
                <w:rFonts w:hint="eastAsia" w:ascii="宋体" w:hAnsi="宋体" w:eastAsia="宋体" w:cs="宋体"/>
                <w:sz w:val="15"/>
                <w:szCs w:val="18"/>
              </w:rPr>
              <w:t>单因素分析</w:t>
            </w:r>
          </w:p>
        </w:tc>
        <w:tc>
          <w:tcPr>
            <w:tcW w:w="580" w:type="dxa"/>
            <w:tcBorders>
              <w:top w:val="single" w:color="auto" w:sz="4" w:space="0"/>
              <w:bottom w:val="single" w:color="auto" w:sz="4" w:space="0"/>
            </w:tcBorders>
          </w:tcPr>
          <w:p>
            <w:pPr>
              <w:rPr>
                <w:sz w:val="15"/>
                <w:szCs w:val="18"/>
              </w:rPr>
            </w:pPr>
            <w:r>
              <w:rPr>
                <w:sz w:val="15"/>
                <w:szCs w:val="18"/>
              </w:rPr>
              <w:t>OR</w:t>
            </w:r>
            <w:r>
              <w:rPr>
                <w:rFonts w:hint="eastAsia" w:ascii="宋体" w:hAnsi="宋体" w:eastAsia="宋体" w:cs="宋体"/>
                <w:sz w:val="15"/>
                <w:szCs w:val="18"/>
              </w:rPr>
              <w:t>值</w:t>
            </w:r>
          </w:p>
        </w:tc>
        <w:tc>
          <w:tcPr>
            <w:tcW w:w="1054" w:type="dxa"/>
            <w:tcBorders>
              <w:top w:val="single" w:color="auto" w:sz="4" w:space="0"/>
              <w:bottom w:val="single" w:color="auto" w:sz="4" w:space="0"/>
            </w:tcBorders>
          </w:tcPr>
          <w:p>
            <w:pPr>
              <w:rPr>
                <w:sz w:val="15"/>
                <w:szCs w:val="18"/>
              </w:rPr>
            </w:pPr>
            <w:r>
              <w:rPr>
                <w:sz w:val="15"/>
                <w:szCs w:val="18"/>
              </w:rPr>
              <w:t>95%</w:t>
            </w:r>
            <w:r>
              <w:rPr>
                <w:rFonts w:hint="eastAsia" w:ascii="宋体" w:hAnsi="宋体" w:eastAsia="宋体" w:cs="宋体"/>
                <w:sz w:val="15"/>
                <w:szCs w:val="18"/>
              </w:rPr>
              <w:t>可信区间</w:t>
            </w:r>
          </w:p>
        </w:tc>
        <w:tc>
          <w:tcPr>
            <w:tcW w:w="633" w:type="dxa"/>
            <w:tcBorders>
              <w:top w:val="single" w:color="auto" w:sz="4" w:space="0"/>
              <w:bottom w:val="single" w:color="auto" w:sz="4" w:space="0"/>
            </w:tcBorders>
          </w:tcPr>
          <w:p>
            <w:pPr>
              <w:rPr>
                <w:sz w:val="15"/>
                <w:szCs w:val="18"/>
              </w:rPr>
            </w:pPr>
            <w:r>
              <w:rPr>
                <w:sz w:val="15"/>
                <w:szCs w:val="18"/>
              </w:rPr>
              <w:t>P</w:t>
            </w:r>
            <w:r>
              <w:rPr>
                <w:rFonts w:hint="eastAsia" w:ascii="宋体" w:hAnsi="宋体" w:eastAsia="宋体" w:cs="宋体"/>
                <w:sz w:val="15"/>
                <w:szCs w:val="18"/>
              </w:rPr>
              <w:t>值</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10" w:hRule="atLeast"/>
        </w:trPr>
        <w:tc>
          <w:tcPr>
            <w:tcW w:w="1889" w:type="dxa"/>
            <w:tcBorders>
              <w:top w:val="single" w:color="auto" w:sz="4" w:space="0"/>
            </w:tcBorders>
          </w:tcPr>
          <w:p>
            <w:pPr>
              <w:rPr>
                <w:sz w:val="15"/>
                <w:szCs w:val="18"/>
              </w:rPr>
            </w:pPr>
            <w:r>
              <w:rPr>
                <w:rFonts w:hint="eastAsia" w:ascii="宋体" w:hAnsi="宋体" w:eastAsia="宋体" w:cs="宋体"/>
                <w:sz w:val="15"/>
                <w:szCs w:val="18"/>
              </w:rPr>
              <w:t>性别</w:t>
            </w:r>
          </w:p>
        </w:tc>
        <w:tc>
          <w:tcPr>
            <w:tcW w:w="580" w:type="dxa"/>
            <w:tcBorders>
              <w:top w:val="single" w:color="auto" w:sz="4" w:space="0"/>
            </w:tcBorders>
          </w:tcPr>
          <w:p>
            <w:pPr>
              <w:rPr>
                <w:sz w:val="15"/>
                <w:szCs w:val="18"/>
              </w:rPr>
            </w:pPr>
            <w:r>
              <w:rPr>
                <w:sz w:val="15"/>
                <w:szCs w:val="18"/>
              </w:rPr>
              <w:t>1.667</w:t>
            </w:r>
          </w:p>
        </w:tc>
        <w:tc>
          <w:tcPr>
            <w:tcW w:w="1054" w:type="dxa"/>
            <w:tcBorders>
              <w:top w:val="single" w:color="auto" w:sz="4" w:space="0"/>
            </w:tcBorders>
          </w:tcPr>
          <w:p>
            <w:pPr>
              <w:rPr>
                <w:sz w:val="15"/>
                <w:szCs w:val="18"/>
              </w:rPr>
            </w:pPr>
            <w:r>
              <w:rPr>
                <w:sz w:val="15"/>
                <w:szCs w:val="18"/>
              </w:rPr>
              <w:t>0.955-2.911</w:t>
            </w:r>
          </w:p>
        </w:tc>
        <w:tc>
          <w:tcPr>
            <w:tcW w:w="633" w:type="dxa"/>
            <w:tcBorders>
              <w:top w:val="single" w:color="auto" w:sz="4" w:space="0"/>
            </w:tcBorders>
          </w:tcPr>
          <w:p>
            <w:pPr>
              <w:rPr>
                <w:sz w:val="15"/>
                <w:szCs w:val="18"/>
              </w:rPr>
            </w:pPr>
            <w:r>
              <w:rPr>
                <w:sz w:val="15"/>
                <w:szCs w:val="18"/>
              </w:rPr>
              <w:t>0.072</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17" w:hRule="atLeast"/>
        </w:trPr>
        <w:tc>
          <w:tcPr>
            <w:tcW w:w="1889" w:type="dxa"/>
          </w:tcPr>
          <w:p>
            <w:pPr>
              <w:rPr>
                <w:sz w:val="15"/>
                <w:szCs w:val="18"/>
              </w:rPr>
            </w:pPr>
            <w:r>
              <w:rPr>
                <w:rFonts w:hint="eastAsia" w:ascii="宋体" w:hAnsi="宋体" w:eastAsia="宋体" w:cs="宋体"/>
                <w:sz w:val="15"/>
                <w:szCs w:val="18"/>
              </w:rPr>
              <w:t>发病年龄</w:t>
            </w:r>
          </w:p>
        </w:tc>
        <w:tc>
          <w:tcPr>
            <w:tcW w:w="580" w:type="dxa"/>
          </w:tcPr>
          <w:p>
            <w:pPr>
              <w:rPr>
                <w:sz w:val="15"/>
                <w:szCs w:val="18"/>
              </w:rPr>
            </w:pPr>
            <w:r>
              <w:rPr>
                <w:sz w:val="15"/>
                <w:szCs w:val="18"/>
              </w:rPr>
              <w:t>1.034</w:t>
            </w:r>
          </w:p>
        </w:tc>
        <w:tc>
          <w:tcPr>
            <w:tcW w:w="1054" w:type="dxa"/>
          </w:tcPr>
          <w:p>
            <w:pPr>
              <w:rPr>
                <w:sz w:val="15"/>
                <w:szCs w:val="18"/>
              </w:rPr>
            </w:pPr>
            <w:r>
              <w:rPr>
                <w:sz w:val="15"/>
                <w:szCs w:val="18"/>
              </w:rPr>
              <w:t>1.017-1.051</w:t>
            </w:r>
          </w:p>
        </w:tc>
        <w:tc>
          <w:tcPr>
            <w:tcW w:w="633" w:type="dxa"/>
          </w:tcPr>
          <w:p>
            <w:pPr>
              <w:rPr>
                <w:sz w:val="15"/>
                <w:szCs w:val="18"/>
              </w:rPr>
            </w:pPr>
            <w:r>
              <w:rPr>
                <w:sz w:val="15"/>
                <w:szCs w:val="18"/>
              </w:rPr>
              <w:t>0.000*</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17" w:hRule="atLeast"/>
        </w:trPr>
        <w:tc>
          <w:tcPr>
            <w:tcW w:w="1889" w:type="dxa"/>
          </w:tcPr>
          <w:p>
            <w:pPr>
              <w:rPr>
                <w:sz w:val="15"/>
                <w:szCs w:val="18"/>
              </w:rPr>
            </w:pPr>
            <w:r>
              <w:rPr>
                <w:rFonts w:hint="eastAsia" w:ascii="宋体" w:hAnsi="宋体" w:eastAsia="宋体" w:cs="宋体"/>
                <w:sz w:val="15"/>
                <w:szCs w:val="18"/>
              </w:rPr>
              <w:t>手术年龄</w:t>
            </w:r>
          </w:p>
        </w:tc>
        <w:tc>
          <w:tcPr>
            <w:tcW w:w="580" w:type="dxa"/>
          </w:tcPr>
          <w:p>
            <w:pPr>
              <w:rPr>
                <w:sz w:val="15"/>
                <w:szCs w:val="18"/>
              </w:rPr>
            </w:pPr>
            <w:r>
              <w:rPr>
                <w:sz w:val="15"/>
                <w:szCs w:val="18"/>
              </w:rPr>
              <w:t>1.031</w:t>
            </w:r>
          </w:p>
        </w:tc>
        <w:tc>
          <w:tcPr>
            <w:tcW w:w="1054" w:type="dxa"/>
          </w:tcPr>
          <w:p>
            <w:pPr>
              <w:rPr>
                <w:sz w:val="15"/>
                <w:szCs w:val="18"/>
              </w:rPr>
            </w:pPr>
            <w:r>
              <w:rPr>
                <w:sz w:val="15"/>
                <w:szCs w:val="18"/>
              </w:rPr>
              <w:t>1.014-1.049</w:t>
            </w:r>
          </w:p>
        </w:tc>
        <w:tc>
          <w:tcPr>
            <w:tcW w:w="633" w:type="dxa"/>
          </w:tcPr>
          <w:p>
            <w:pPr>
              <w:rPr>
                <w:sz w:val="15"/>
                <w:szCs w:val="18"/>
              </w:rPr>
            </w:pPr>
            <w:r>
              <w:rPr>
                <w:sz w:val="15"/>
                <w:szCs w:val="18"/>
              </w:rPr>
              <w:t>0.000*</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27" w:hRule="atLeast"/>
        </w:trPr>
        <w:tc>
          <w:tcPr>
            <w:tcW w:w="1889" w:type="dxa"/>
          </w:tcPr>
          <w:p>
            <w:pPr>
              <w:rPr>
                <w:sz w:val="15"/>
                <w:szCs w:val="18"/>
              </w:rPr>
            </w:pPr>
            <w:r>
              <w:rPr>
                <w:rFonts w:hint="eastAsia" w:ascii="宋体" w:hAnsi="宋体" w:eastAsia="宋体" w:cs="宋体"/>
                <w:sz w:val="15"/>
                <w:szCs w:val="18"/>
              </w:rPr>
              <w:t>病程（发病与手术相距时间）</w:t>
            </w:r>
          </w:p>
        </w:tc>
        <w:tc>
          <w:tcPr>
            <w:tcW w:w="580" w:type="dxa"/>
          </w:tcPr>
          <w:p>
            <w:pPr>
              <w:rPr>
                <w:sz w:val="15"/>
                <w:szCs w:val="18"/>
              </w:rPr>
            </w:pPr>
            <w:r>
              <w:rPr>
                <w:sz w:val="15"/>
                <w:szCs w:val="18"/>
              </w:rPr>
              <w:t>0.989</w:t>
            </w:r>
          </w:p>
        </w:tc>
        <w:tc>
          <w:tcPr>
            <w:tcW w:w="1054" w:type="dxa"/>
          </w:tcPr>
          <w:p>
            <w:pPr>
              <w:rPr>
                <w:sz w:val="15"/>
                <w:szCs w:val="18"/>
              </w:rPr>
            </w:pPr>
            <w:r>
              <w:rPr>
                <w:sz w:val="15"/>
                <w:szCs w:val="18"/>
              </w:rPr>
              <w:t>0.981-0.997</w:t>
            </w:r>
          </w:p>
        </w:tc>
        <w:tc>
          <w:tcPr>
            <w:tcW w:w="633" w:type="dxa"/>
          </w:tcPr>
          <w:p>
            <w:pPr>
              <w:rPr>
                <w:sz w:val="15"/>
                <w:szCs w:val="18"/>
              </w:rPr>
            </w:pPr>
            <w:r>
              <w:rPr>
                <w:sz w:val="15"/>
                <w:szCs w:val="18"/>
              </w:rPr>
              <w:t>0.006*</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Layout w:type="fixed"/>
        </w:tblPrEx>
        <w:trPr>
          <w:trHeight w:val="317" w:hRule="atLeast"/>
        </w:trPr>
        <w:tc>
          <w:tcPr>
            <w:tcW w:w="1889" w:type="dxa"/>
          </w:tcPr>
          <w:p>
            <w:pPr>
              <w:rPr>
                <w:sz w:val="15"/>
                <w:szCs w:val="18"/>
              </w:rPr>
            </w:pPr>
            <w:r>
              <w:rPr>
                <w:rFonts w:hint="eastAsia" w:ascii="宋体" w:hAnsi="宋体" w:eastAsia="宋体" w:cs="宋体"/>
                <w:sz w:val="15"/>
                <w:szCs w:val="18"/>
              </w:rPr>
              <w:t>术前发生危象</w:t>
            </w:r>
          </w:p>
        </w:tc>
        <w:tc>
          <w:tcPr>
            <w:tcW w:w="580" w:type="dxa"/>
          </w:tcPr>
          <w:p>
            <w:pPr>
              <w:rPr>
                <w:sz w:val="15"/>
                <w:szCs w:val="18"/>
              </w:rPr>
            </w:pPr>
            <w:r>
              <w:rPr>
                <w:sz w:val="15"/>
                <w:szCs w:val="18"/>
              </w:rPr>
              <w:t>4.114</w:t>
            </w:r>
          </w:p>
        </w:tc>
        <w:tc>
          <w:tcPr>
            <w:tcW w:w="1054" w:type="dxa"/>
          </w:tcPr>
          <w:p>
            <w:pPr>
              <w:rPr>
                <w:sz w:val="15"/>
                <w:szCs w:val="18"/>
              </w:rPr>
            </w:pPr>
            <w:r>
              <w:rPr>
                <w:sz w:val="15"/>
                <w:szCs w:val="18"/>
              </w:rPr>
              <w:t>1.735-9.756</w:t>
            </w:r>
          </w:p>
        </w:tc>
        <w:tc>
          <w:tcPr>
            <w:tcW w:w="633" w:type="dxa"/>
          </w:tcPr>
          <w:p>
            <w:pPr>
              <w:rPr>
                <w:sz w:val="15"/>
                <w:szCs w:val="18"/>
              </w:rPr>
            </w:pPr>
            <w:r>
              <w:rPr>
                <w:sz w:val="15"/>
                <w:szCs w:val="18"/>
              </w:rPr>
              <w:t>0.001*</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17" w:hRule="atLeast"/>
        </w:trPr>
        <w:tc>
          <w:tcPr>
            <w:tcW w:w="1889" w:type="dxa"/>
          </w:tcPr>
          <w:p>
            <w:pPr>
              <w:rPr>
                <w:sz w:val="15"/>
                <w:szCs w:val="18"/>
              </w:rPr>
            </w:pPr>
            <w:r>
              <w:rPr>
                <w:rFonts w:hint="eastAsia" w:ascii="宋体" w:hAnsi="宋体" w:eastAsia="宋体" w:cs="宋体"/>
                <w:sz w:val="15"/>
                <w:szCs w:val="18"/>
              </w:rPr>
              <w:t>术前激素</w:t>
            </w:r>
          </w:p>
        </w:tc>
        <w:tc>
          <w:tcPr>
            <w:tcW w:w="580" w:type="dxa"/>
          </w:tcPr>
          <w:p>
            <w:pPr>
              <w:rPr>
                <w:sz w:val="15"/>
                <w:szCs w:val="18"/>
              </w:rPr>
            </w:pPr>
            <w:r>
              <w:rPr>
                <w:sz w:val="15"/>
                <w:szCs w:val="18"/>
              </w:rPr>
              <w:t>1.205</w:t>
            </w:r>
          </w:p>
        </w:tc>
        <w:tc>
          <w:tcPr>
            <w:tcW w:w="1054" w:type="dxa"/>
          </w:tcPr>
          <w:p>
            <w:pPr>
              <w:rPr>
                <w:sz w:val="15"/>
                <w:szCs w:val="18"/>
              </w:rPr>
            </w:pPr>
            <w:r>
              <w:rPr>
                <w:sz w:val="15"/>
                <w:szCs w:val="18"/>
              </w:rPr>
              <w:t>0.724-2.003</w:t>
            </w:r>
          </w:p>
        </w:tc>
        <w:tc>
          <w:tcPr>
            <w:tcW w:w="633" w:type="dxa"/>
          </w:tcPr>
          <w:p>
            <w:pPr>
              <w:rPr>
                <w:sz w:val="15"/>
                <w:szCs w:val="18"/>
              </w:rPr>
            </w:pPr>
            <w:r>
              <w:rPr>
                <w:sz w:val="15"/>
                <w:szCs w:val="18"/>
              </w:rPr>
              <w:t>0.473</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34" w:hRule="atLeast"/>
        </w:trPr>
        <w:tc>
          <w:tcPr>
            <w:tcW w:w="1889" w:type="dxa"/>
          </w:tcPr>
          <w:p>
            <w:pPr>
              <w:rPr>
                <w:sz w:val="15"/>
                <w:szCs w:val="18"/>
              </w:rPr>
            </w:pPr>
            <w:r>
              <w:rPr>
                <w:rFonts w:hint="eastAsia" w:ascii="宋体" w:hAnsi="宋体" w:eastAsia="宋体" w:cs="宋体"/>
                <w:sz w:val="15"/>
                <w:szCs w:val="18"/>
              </w:rPr>
              <w:t>术前吡斯的明</w:t>
            </w:r>
          </w:p>
        </w:tc>
        <w:tc>
          <w:tcPr>
            <w:tcW w:w="580" w:type="dxa"/>
          </w:tcPr>
          <w:p>
            <w:pPr>
              <w:rPr>
                <w:sz w:val="15"/>
                <w:szCs w:val="18"/>
              </w:rPr>
            </w:pPr>
            <w:r>
              <w:rPr>
                <w:sz w:val="15"/>
                <w:szCs w:val="18"/>
              </w:rPr>
              <w:t>1.533</w:t>
            </w:r>
          </w:p>
        </w:tc>
        <w:tc>
          <w:tcPr>
            <w:tcW w:w="1054" w:type="dxa"/>
          </w:tcPr>
          <w:p>
            <w:pPr>
              <w:rPr>
                <w:sz w:val="15"/>
                <w:szCs w:val="18"/>
              </w:rPr>
            </w:pPr>
            <w:r>
              <w:rPr>
                <w:sz w:val="15"/>
                <w:szCs w:val="18"/>
              </w:rPr>
              <w:t>0.722-3.255</w:t>
            </w:r>
          </w:p>
        </w:tc>
        <w:tc>
          <w:tcPr>
            <w:tcW w:w="633" w:type="dxa"/>
          </w:tcPr>
          <w:p>
            <w:pPr>
              <w:rPr>
                <w:sz w:val="15"/>
                <w:szCs w:val="18"/>
              </w:rPr>
            </w:pPr>
            <w:r>
              <w:rPr>
                <w:sz w:val="15"/>
                <w:szCs w:val="18"/>
              </w:rPr>
              <w:t>0.266</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27" w:hRule="atLeast"/>
        </w:trPr>
        <w:tc>
          <w:tcPr>
            <w:tcW w:w="1889" w:type="dxa"/>
          </w:tcPr>
          <w:p>
            <w:pPr>
              <w:rPr>
                <w:sz w:val="15"/>
                <w:szCs w:val="18"/>
              </w:rPr>
            </w:pPr>
            <w:r>
              <w:rPr>
                <w:rFonts w:hint="eastAsia" w:ascii="宋体" w:hAnsi="宋体" w:eastAsia="宋体" w:cs="宋体"/>
                <w:sz w:val="15"/>
                <w:szCs w:val="18"/>
              </w:rPr>
              <w:t>术前吞咽肌受累</w:t>
            </w:r>
          </w:p>
        </w:tc>
        <w:tc>
          <w:tcPr>
            <w:tcW w:w="580" w:type="dxa"/>
          </w:tcPr>
          <w:p>
            <w:pPr>
              <w:rPr>
                <w:sz w:val="15"/>
                <w:szCs w:val="18"/>
              </w:rPr>
            </w:pPr>
            <w:r>
              <w:rPr>
                <w:sz w:val="15"/>
                <w:szCs w:val="18"/>
              </w:rPr>
              <w:t>2.905</w:t>
            </w:r>
          </w:p>
        </w:tc>
        <w:tc>
          <w:tcPr>
            <w:tcW w:w="1054" w:type="dxa"/>
          </w:tcPr>
          <w:p>
            <w:pPr>
              <w:rPr>
                <w:sz w:val="15"/>
                <w:szCs w:val="18"/>
              </w:rPr>
            </w:pPr>
            <w:r>
              <w:rPr>
                <w:sz w:val="15"/>
                <w:szCs w:val="18"/>
              </w:rPr>
              <w:t>1.557-5.419</w:t>
            </w:r>
          </w:p>
        </w:tc>
        <w:tc>
          <w:tcPr>
            <w:tcW w:w="633" w:type="dxa"/>
          </w:tcPr>
          <w:p>
            <w:pPr>
              <w:rPr>
                <w:sz w:val="15"/>
                <w:szCs w:val="18"/>
              </w:rPr>
            </w:pPr>
            <w:r>
              <w:rPr>
                <w:sz w:val="15"/>
                <w:szCs w:val="18"/>
              </w:rPr>
              <w:t>0.001*</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17" w:hRule="atLeast"/>
        </w:trPr>
        <w:tc>
          <w:tcPr>
            <w:tcW w:w="1889" w:type="dxa"/>
          </w:tcPr>
          <w:p>
            <w:pPr>
              <w:rPr>
                <w:sz w:val="15"/>
                <w:szCs w:val="18"/>
              </w:rPr>
            </w:pPr>
            <w:r>
              <w:rPr>
                <w:rFonts w:hint="eastAsia" w:ascii="宋体" w:hAnsi="宋体" w:eastAsia="宋体" w:cs="宋体"/>
                <w:sz w:val="15"/>
                <w:szCs w:val="18"/>
              </w:rPr>
              <w:t>确诊胸腺瘤</w:t>
            </w:r>
          </w:p>
        </w:tc>
        <w:tc>
          <w:tcPr>
            <w:tcW w:w="580" w:type="dxa"/>
          </w:tcPr>
          <w:p>
            <w:pPr>
              <w:rPr>
                <w:sz w:val="15"/>
                <w:szCs w:val="18"/>
              </w:rPr>
            </w:pPr>
            <w:r>
              <w:rPr>
                <w:sz w:val="15"/>
                <w:szCs w:val="18"/>
              </w:rPr>
              <w:t>4.069</w:t>
            </w:r>
          </w:p>
        </w:tc>
        <w:tc>
          <w:tcPr>
            <w:tcW w:w="1054" w:type="dxa"/>
          </w:tcPr>
          <w:p>
            <w:pPr>
              <w:rPr>
                <w:sz w:val="15"/>
                <w:szCs w:val="18"/>
              </w:rPr>
            </w:pPr>
            <w:r>
              <w:rPr>
                <w:sz w:val="15"/>
                <w:szCs w:val="18"/>
              </w:rPr>
              <w:t>1.992-8.314</w:t>
            </w:r>
          </w:p>
        </w:tc>
        <w:tc>
          <w:tcPr>
            <w:tcW w:w="633" w:type="dxa"/>
          </w:tcPr>
          <w:p>
            <w:pPr>
              <w:rPr>
                <w:sz w:val="15"/>
                <w:szCs w:val="18"/>
              </w:rPr>
            </w:pPr>
            <w:r>
              <w:rPr>
                <w:sz w:val="15"/>
                <w:szCs w:val="18"/>
              </w:rPr>
              <w:t>0.000*</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17" w:hRule="atLeast"/>
        </w:trPr>
        <w:tc>
          <w:tcPr>
            <w:tcW w:w="1889" w:type="dxa"/>
          </w:tcPr>
          <w:p>
            <w:pPr>
              <w:rPr>
                <w:sz w:val="15"/>
                <w:szCs w:val="18"/>
              </w:rPr>
            </w:pPr>
            <w:r>
              <w:rPr>
                <w:rFonts w:hint="eastAsia" w:ascii="宋体" w:hAnsi="宋体" w:eastAsia="宋体" w:cs="宋体"/>
                <w:sz w:val="15"/>
                <w:szCs w:val="18"/>
              </w:rPr>
              <w:t>放疗</w:t>
            </w:r>
          </w:p>
        </w:tc>
        <w:tc>
          <w:tcPr>
            <w:tcW w:w="580" w:type="dxa"/>
          </w:tcPr>
          <w:p>
            <w:pPr>
              <w:rPr>
                <w:sz w:val="15"/>
                <w:szCs w:val="18"/>
              </w:rPr>
            </w:pPr>
            <w:r>
              <w:rPr>
                <w:sz w:val="15"/>
                <w:szCs w:val="18"/>
              </w:rPr>
              <w:t>1.760</w:t>
            </w:r>
          </w:p>
        </w:tc>
        <w:tc>
          <w:tcPr>
            <w:tcW w:w="1054" w:type="dxa"/>
          </w:tcPr>
          <w:p>
            <w:pPr>
              <w:rPr>
                <w:sz w:val="15"/>
                <w:szCs w:val="18"/>
              </w:rPr>
            </w:pPr>
            <w:r>
              <w:rPr>
                <w:sz w:val="15"/>
                <w:szCs w:val="18"/>
              </w:rPr>
              <w:t>0.671-4.615</w:t>
            </w:r>
          </w:p>
        </w:tc>
        <w:tc>
          <w:tcPr>
            <w:tcW w:w="633" w:type="dxa"/>
          </w:tcPr>
          <w:p>
            <w:pPr>
              <w:rPr>
                <w:sz w:val="15"/>
                <w:szCs w:val="18"/>
              </w:rPr>
            </w:pPr>
            <w:r>
              <w:rPr>
                <w:sz w:val="15"/>
                <w:szCs w:val="18"/>
              </w:rPr>
              <w:t>0.250</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Layout w:type="fixed"/>
        </w:tblPrEx>
        <w:trPr>
          <w:trHeight w:val="317" w:hRule="atLeast"/>
        </w:trPr>
        <w:tc>
          <w:tcPr>
            <w:tcW w:w="1889" w:type="dxa"/>
          </w:tcPr>
          <w:p>
            <w:pPr>
              <w:rPr>
                <w:sz w:val="15"/>
                <w:szCs w:val="18"/>
              </w:rPr>
            </w:pPr>
            <w:r>
              <w:rPr>
                <w:rFonts w:hint="eastAsia" w:ascii="宋体" w:hAnsi="宋体" w:eastAsia="宋体" w:cs="宋体"/>
                <w:sz w:val="15"/>
                <w:szCs w:val="18"/>
              </w:rPr>
              <w:t>手术方式</w:t>
            </w:r>
          </w:p>
        </w:tc>
        <w:tc>
          <w:tcPr>
            <w:tcW w:w="580" w:type="dxa"/>
          </w:tcPr>
          <w:p>
            <w:pPr>
              <w:rPr>
                <w:sz w:val="15"/>
                <w:szCs w:val="18"/>
              </w:rPr>
            </w:pPr>
            <w:r>
              <w:rPr>
                <w:sz w:val="15"/>
                <w:szCs w:val="18"/>
              </w:rPr>
              <w:t>0.594</w:t>
            </w:r>
          </w:p>
        </w:tc>
        <w:tc>
          <w:tcPr>
            <w:tcW w:w="1054" w:type="dxa"/>
          </w:tcPr>
          <w:p>
            <w:pPr>
              <w:rPr>
                <w:sz w:val="15"/>
                <w:szCs w:val="18"/>
              </w:rPr>
            </w:pPr>
            <w:r>
              <w:rPr>
                <w:sz w:val="15"/>
                <w:szCs w:val="18"/>
              </w:rPr>
              <w:t>0.227-1.559</w:t>
            </w:r>
          </w:p>
        </w:tc>
        <w:tc>
          <w:tcPr>
            <w:tcW w:w="633" w:type="dxa"/>
          </w:tcPr>
          <w:p>
            <w:pPr>
              <w:rPr>
                <w:sz w:val="15"/>
                <w:szCs w:val="18"/>
              </w:rPr>
            </w:pPr>
            <w:r>
              <w:rPr>
                <w:sz w:val="15"/>
                <w:szCs w:val="18"/>
              </w:rPr>
              <w:t>0.290</w:t>
            </w:r>
          </w:p>
        </w:tc>
      </w:tr>
    </w:tbl>
    <w:p>
      <w:pPr>
        <w:autoSpaceDE w:val="0"/>
        <w:autoSpaceDN w:val="0"/>
        <w:adjustRightInd w:val="0"/>
        <w:jc w:val="left"/>
        <w:rPr>
          <w:rFonts w:cs="FranklinGothic-Demi" w:asciiTheme="majorEastAsia" w:hAnsiTheme="majorEastAsia" w:eastAsiaTheme="majorEastAsia"/>
          <w:b/>
          <w:kern w:val="0"/>
          <w:sz w:val="24"/>
          <w:szCs w:val="24"/>
        </w:rPr>
      </w:pPr>
    </w:p>
    <w:p>
      <w:pPr>
        <w:autoSpaceDE w:val="0"/>
        <w:autoSpaceDN w:val="0"/>
        <w:adjustRightInd w:val="0"/>
        <w:jc w:val="left"/>
        <w:rPr>
          <w:rFonts w:cs="FranklinGothic-Demi" w:asciiTheme="majorEastAsia" w:hAnsiTheme="majorEastAsia" w:eastAsiaTheme="majorEastAsia"/>
          <w:b/>
          <w:kern w:val="0"/>
          <w:sz w:val="24"/>
          <w:szCs w:val="24"/>
        </w:rPr>
      </w:pPr>
      <w:r>
        <w:rPr>
          <w:rFonts w:cs="FranklinGothic-Demi" w:asciiTheme="majorEastAsia" w:hAnsiTheme="majorEastAsia" w:eastAsiaTheme="majorEastAsia"/>
          <w:b/>
          <w:kern w:val="0"/>
          <w:sz w:val="24"/>
          <w:szCs w:val="24"/>
        </w:rPr>
        <w:t>表</w:t>
      </w:r>
      <w:r>
        <w:rPr>
          <w:rFonts w:hint="eastAsia" w:cs="FranklinGothic-Demi" w:asciiTheme="majorEastAsia" w:hAnsiTheme="majorEastAsia" w:eastAsiaTheme="majorEastAsia"/>
          <w:b/>
          <w:kern w:val="0"/>
          <w:sz w:val="24"/>
          <w:szCs w:val="24"/>
        </w:rPr>
        <w:t>4</w:t>
      </w:r>
    </w:p>
    <w:tbl>
      <w:tblPr>
        <w:tblStyle w:val="7"/>
        <w:tblW w:w="3560" w:type="dxa"/>
        <w:tblInd w:w="0" w:type="dxa"/>
        <w:tblBorders>
          <w:top w:val="single" w:color="auto" w:sz="4" w:space="0"/>
          <w:left w:val="none" w:color="auto" w:sz="0" w:space="0"/>
          <w:bottom w:val="single" w:color="auto" w:sz="4"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266"/>
        <w:gridCol w:w="585"/>
        <w:gridCol w:w="1076"/>
        <w:gridCol w:w="633"/>
      </w:tblGrid>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1266" w:type="dxa"/>
            <w:tcBorders>
              <w:top w:val="single" w:color="auto" w:sz="4" w:space="0"/>
              <w:bottom w:val="single" w:color="auto" w:sz="4" w:space="0"/>
            </w:tcBorders>
          </w:tcPr>
          <w:p>
            <w:pPr>
              <w:rPr>
                <w:sz w:val="15"/>
                <w:szCs w:val="18"/>
              </w:rPr>
            </w:pPr>
            <w:r>
              <w:rPr>
                <w:rFonts w:hint="eastAsia" w:ascii="宋体" w:hAnsi="宋体" w:eastAsia="宋体" w:cs="宋体"/>
                <w:sz w:val="15"/>
                <w:szCs w:val="18"/>
              </w:rPr>
              <w:t>多因素分析</w:t>
            </w:r>
          </w:p>
        </w:tc>
        <w:tc>
          <w:tcPr>
            <w:tcW w:w="585" w:type="dxa"/>
            <w:tcBorders>
              <w:top w:val="single" w:color="auto" w:sz="4" w:space="0"/>
              <w:bottom w:val="single" w:color="auto" w:sz="4" w:space="0"/>
            </w:tcBorders>
          </w:tcPr>
          <w:p>
            <w:pPr>
              <w:rPr>
                <w:sz w:val="15"/>
                <w:szCs w:val="18"/>
              </w:rPr>
            </w:pPr>
            <w:r>
              <w:rPr>
                <w:sz w:val="15"/>
                <w:szCs w:val="18"/>
              </w:rPr>
              <w:t>OR</w:t>
            </w:r>
            <w:r>
              <w:rPr>
                <w:rFonts w:hint="eastAsia" w:ascii="宋体" w:hAnsi="宋体" w:eastAsia="宋体" w:cs="宋体"/>
                <w:sz w:val="15"/>
                <w:szCs w:val="18"/>
              </w:rPr>
              <w:t>值</w:t>
            </w:r>
          </w:p>
        </w:tc>
        <w:tc>
          <w:tcPr>
            <w:tcW w:w="1076" w:type="dxa"/>
            <w:tcBorders>
              <w:top w:val="single" w:color="auto" w:sz="4" w:space="0"/>
              <w:bottom w:val="single" w:color="auto" w:sz="4" w:space="0"/>
            </w:tcBorders>
          </w:tcPr>
          <w:p>
            <w:pPr>
              <w:rPr>
                <w:sz w:val="15"/>
                <w:szCs w:val="18"/>
              </w:rPr>
            </w:pPr>
            <w:r>
              <w:rPr>
                <w:sz w:val="15"/>
                <w:szCs w:val="18"/>
              </w:rPr>
              <w:t>95%</w:t>
            </w:r>
            <w:r>
              <w:rPr>
                <w:rFonts w:hint="eastAsia" w:ascii="宋体" w:hAnsi="宋体" w:eastAsia="宋体" w:cs="宋体"/>
                <w:sz w:val="15"/>
                <w:szCs w:val="18"/>
              </w:rPr>
              <w:t>可信区间</w:t>
            </w:r>
          </w:p>
        </w:tc>
        <w:tc>
          <w:tcPr>
            <w:tcW w:w="633" w:type="dxa"/>
            <w:tcBorders>
              <w:top w:val="single" w:color="auto" w:sz="4" w:space="0"/>
              <w:bottom w:val="single" w:color="auto" w:sz="4" w:space="0"/>
            </w:tcBorders>
          </w:tcPr>
          <w:p>
            <w:pPr>
              <w:rPr>
                <w:sz w:val="15"/>
                <w:szCs w:val="18"/>
              </w:rPr>
            </w:pPr>
            <w:r>
              <w:rPr>
                <w:sz w:val="15"/>
                <w:szCs w:val="18"/>
              </w:rPr>
              <w:t>P</w:t>
            </w:r>
            <w:r>
              <w:rPr>
                <w:rFonts w:hint="eastAsia" w:ascii="宋体" w:hAnsi="宋体" w:eastAsia="宋体" w:cs="宋体"/>
                <w:sz w:val="15"/>
                <w:szCs w:val="18"/>
              </w:rPr>
              <w:t>值</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1266" w:type="dxa"/>
            <w:tcBorders>
              <w:top w:val="single" w:color="auto" w:sz="4" w:space="0"/>
            </w:tcBorders>
          </w:tcPr>
          <w:p>
            <w:pPr>
              <w:rPr>
                <w:sz w:val="15"/>
                <w:szCs w:val="18"/>
              </w:rPr>
            </w:pPr>
            <w:r>
              <w:rPr>
                <w:rFonts w:hint="eastAsia" w:ascii="宋体" w:hAnsi="宋体" w:eastAsia="宋体" w:cs="宋体"/>
                <w:sz w:val="15"/>
                <w:szCs w:val="18"/>
              </w:rPr>
              <w:t>术前吞咽肌受累</w:t>
            </w:r>
          </w:p>
        </w:tc>
        <w:tc>
          <w:tcPr>
            <w:tcW w:w="585" w:type="dxa"/>
            <w:tcBorders>
              <w:top w:val="single" w:color="auto" w:sz="4" w:space="0"/>
            </w:tcBorders>
          </w:tcPr>
          <w:p>
            <w:pPr>
              <w:rPr>
                <w:sz w:val="15"/>
                <w:szCs w:val="18"/>
              </w:rPr>
            </w:pPr>
            <w:r>
              <w:rPr>
                <w:sz w:val="15"/>
                <w:szCs w:val="18"/>
              </w:rPr>
              <w:t>3.361</w:t>
            </w:r>
          </w:p>
        </w:tc>
        <w:tc>
          <w:tcPr>
            <w:tcW w:w="1076" w:type="dxa"/>
            <w:tcBorders>
              <w:top w:val="single" w:color="auto" w:sz="4" w:space="0"/>
            </w:tcBorders>
          </w:tcPr>
          <w:p>
            <w:pPr>
              <w:rPr>
                <w:sz w:val="15"/>
                <w:szCs w:val="18"/>
              </w:rPr>
            </w:pPr>
            <w:r>
              <w:rPr>
                <w:sz w:val="15"/>
                <w:szCs w:val="18"/>
              </w:rPr>
              <w:t>1.703-6.631</w:t>
            </w:r>
          </w:p>
        </w:tc>
        <w:tc>
          <w:tcPr>
            <w:tcW w:w="633" w:type="dxa"/>
            <w:tcBorders>
              <w:top w:val="single" w:color="auto" w:sz="4" w:space="0"/>
            </w:tcBorders>
          </w:tcPr>
          <w:p>
            <w:pPr>
              <w:rPr>
                <w:sz w:val="15"/>
                <w:szCs w:val="18"/>
              </w:rPr>
            </w:pPr>
            <w:r>
              <w:rPr>
                <w:sz w:val="15"/>
                <w:szCs w:val="18"/>
              </w:rPr>
              <w:t>0.000*</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1266" w:type="dxa"/>
          </w:tcPr>
          <w:p>
            <w:pPr>
              <w:rPr>
                <w:sz w:val="15"/>
                <w:szCs w:val="18"/>
              </w:rPr>
            </w:pPr>
            <w:r>
              <w:rPr>
                <w:rFonts w:hint="eastAsia" w:ascii="宋体" w:hAnsi="宋体" w:eastAsia="宋体" w:cs="宋体"/>
                <w:sz w:val="15"/>
                <w:szCs w:val="18"/>
              </w:rPr>
              <w:t>术前发生危象</w:t>
            </w:r>
          </w:p>
        </w:tc>
        <w:tc>
          <w:tcPr>
            <w:tcW w:w="585" w:type="dxa"/>
          </w:tcPr>
          <w:p>
            <w:pPr>
              <w:rPr>
                <w:sz w:val="15"/>
                <w:szCs w:val="18"/>
              </w:rPr>
            </w:pPr>
            <w:r>
              <w:rPr>
                <w:sz w:val="15"/>
                <w:szCs w:val="18"/>
              </w:rPr>
              <w:t>3.103</w:t>
            </w:r>
          </w:p>
        </w:tc>
        <w:tc>
          <w:tcPr>
            <w:tcW w:w="1076" w:type="dxa"/>
          </w:tcPr>
          <w:p>
            <w:pPr>
              <w:rPr>
                <w:sz w:val="15"/>
                <w:szCs w:val="18"/>
              </w:rPr>
            </w:pPr>
            <w:r>
              <w:rPr>
                <w:sz w:val="15"/>
                <w:szCs w:val="18"/>
              </w:rPr>
              <w:t>1.319-7.300</w:t>
            </w:r>
          </w:p>
        </w:tc>
        <w:tc>
          <w:tcPr>
            <w:tcW w:w="633" w:type="dxa"/>
          </w:tcPr>
          <w:p>
            <w:pPr>
              <w:rPr>
                <w:sz w:val="15"/>
                <w:szCs w:val="18"/>
              </w:rPr>
            </w:pPr>
            <w:r>
              <w:rPr>
                <w:sz w:val="15"/>
                <w:szCs w:val="18"/>
              </w:rPr>
              <w:t>0.009*</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Layout w:type="fixed"/>
        </w:tblPrEx>
        <w:tc>
          <w:tcPr>
            <w:tcW w:w="1266" w:type="dxa"/>
          </w:tcPr>
          <w:p>
            <w:pPr>
              <w:rPr>
                <w:sz w:val="15"/>
                <w:szCs w:val="18"/>
              </w:rPr>
            </w:pPr>
            <w:r>
              <w:rPr>
                <w:rFonts w:hint="eastAsia" w:ascii="宋体" w:hAnsi="宋体" w:eastAsia="宋体" w:cs="宋体"/>
                <w:sz w:val="15"/>
                <w:szCs w:val="18"/>
              </w:rPr>
              <w:t>确诊胸腺瘤</w:t>
            </w:r>
          </w:p>
        </w:tc>
        <w:tc>
          <w:tcPr>
            <w:tcW w:w="585" w:type="dxa"/>
          </w:tcPr>
          <w:p>
            <w:pPr>
              <w:rPr>
                <w:sz w:val="15"/>
                <w:szCs w:val="18"/>
              </w:rPr>
            </w:pPr>
            <w:r>
              <w:rPr>
                <w:sz w:val="15"/>
                <w:szCs w:val="18"/>
              </w:rPr>
              <w:t>3.126</w:t>
            </w:r>
          </w:p>
        </w:tc>
        <w:tc>
          <w:tcPr>
            <w:tcW w:w="1076" w:type="dxa"/>
          </w:tcPr>
          <w:p>
            <w:pPr>
              <w:rPr>
                <w:sz w:val="15"/>
                <w:szCs w:val="18"/>
              </w:rPr>
            </w:pPr>
            <w:r>
              <w:rPr>
                <w:sz w:val="15"/>
                <w:szCs w:val="18"/>
              </w:rPr>
              <w:t>1.400-6.980</w:t>
            </w:r>
          </w:p>
        </w:tc>
        <w:tc>
          <w:tcPr>
            <w:tcW w:w="633" w:type="dxa"/>
          </w:tcPr>
          <w:p>
            <w:pPr>
              <w:rPr>
                <w:sz w:val="15"/>
                <w:szCs w:val="18"/>
              </w:rPr>
            </w:pPr>
            <w:r>
              <w:rPr>
                <w:sz w:val="15"/>
                <w:szCs w:val="18"/>
              </w:rPr>
              <w:t>0.005*</w:t>
            </w:r>
          </w:p>
        </w:tc>
      </w:tr>
    </w:tbl>
    <w:p>
      <w:pPr>
        <w:autoSpaceDE w:val="0"/>
        <w:autoSpaceDN w:val="0"/>
        <w:adjustRightInd w:val="0"/>
        <w:jc w:val="left"/>
        <w:rPr>
          <w:rFonts w:ascii="宋体" w:eastAsia="宋体"/>
          <w:kern w:val="0"/>
          <w:sz w:val="24"/>
          <w:szCs w:val="24"/>
        </w:rPr>
      </w:pPr>
      <w:r>
        <w:rPr>
          <w:rFonts w:asciiTheme="majorEastAsia" w:hAnsiTheme="majorEastAsia" w:eastAsiaTheme="majorEastAsia"/>
          <w:sz w:val="24"/>
          <w:szCs w:val="24"/>
        </w:rPr>
        <w:fldChar w:fldCharType="begin"/>
      </w:r>
      <w:r>
        <w:rPr>
          <w:rFonts w:asciiTheme="majorEastAsia" w:hAnsiTheme="majorEastAsia" w:eastAsiaTheme="majorEastAsia"/>
          <w:sz w:val="24"/>
          <w:szCs w:val="24"/>
        </w:rPr>
        <w:instrText xml:space="preserve"> ADDIN NE.Bib</w:instrText>
      </w:r>
      <w:r>
        <w:rPr>
          <w:rFonts w:asciiTheme="majorEastAsia" w:hAnsiTheme="majorEastAsia" w:eastAsiaTheme="majorEastAsia"/>
          <w:sz w:val="24"/>
          <w:szCs w:val="24"/>
        </w:rPr>
        <w:fldChar w:fldCharType="separate"/>
      </w:r>
    </w:p>
    <w:p>
      <w:pPr>
        <w:autoSpaceDE w:val="0"/>
        <w:autoSpaceDN w:val="0"/>
        <w:adjustRightInd w:val="0"/>
        <w:jc w:val="center"/>
        <w:rPr>
          <w:rFonts w:ascii="宋体" w:eastAsia="宋体"/>
          <w:kern w:val="0"/>
          <w:sz w:val="24"/>
          <w:szCs w:val="24"/>
        </w:rPr>
      </w:pPr>
      <w:r>
        <w:rPr>
          <w:rFonts w:hint="eastAsia" w:ascii="宋体" w:eastAsia="宋体" w:cs="宋体"/>
          <w:b/>
          <w:bCs/>
          <w:color w:val="000000"/>
          <w:kern w:val="0"/>
          <w:sz w:val="40"/>
          <w:szCs w:val="40"/>
        </w:rPr>
        <w:t>参考文献</w:t>
      </w:r>
    </w:p>
    <w:p>
      <w:pPr>
        <w:autoSpaceDE w:val="0"/>
        <w:autoSpaceDN w:val="0"/>
        <w:adjustRightInd w:val="0"/>
        <w:ind w:left="420" w:hanging="420"/>
        <w:rPr>
          <w:rFonts w:ascii="宋体" w:eastAsia="宋体"/>
          <w:kern w:val="0"/>
          <w:sz w:val="24"/>
          <w:szCs w:val="24"/>
        </w:rPr>
      </w:pPr>
      <w:r>
        <w:rPr>
          <w:rFonts w:ascii="Times New Roman" w:hAnsi="Times New Roman" w:eastAsia="宋体" w:cs="Times New Roman"/>
          <w:color w:val="000000"/>
          <w:kern w:val="0"/>
          <w:sz w:val="20"/>
          <w:szCs w:val="20"/>
        </w:rPr>
        <w:t xml:space="preserve"> 1</w:t>
      </w:r>
      <w:r>
        <w:rPr>
          <w:rFonts w:ascii="Times New Roman" w:hAnsi="Times New Roman" w:eastAsia="宋体" w:cs="Times New Roman"/>
          <w:color w:val="000000"/>
          <w:kern w:val="0"/>
          <w:sz w:val="20"/>
          <w:szCs w:val="20"/>
        </w:rPr>
        <w:tab/>
      </w:r>
      <w:bookmarkStart w:id="10" w:name="_nebF991F63E_1901_45B2_BC6A_0C80B0FF57FA"/>
      <w:r>
        <w:rPr>
          <w:rFonts w:ascii="Times New Roman" w:hAnsi="Times New Roman" w:eastAsia="宋体" w:cs="Times New Roman"/>
          <w:color w:val="000000"/>
          <w:kern w:val="0"/>
          <w:sz w:val="20"/>
          <w:szCs w:val="20"/>
        </w:rPr>
        <w:t>Vincent A, Palace J, Hilton-Jones D. Myasthenia gravis[J]. Lancet, 2001,357:2122-2128.</w:t>
      </w:r>
      <w:bookmarkEnd w:id="10"/>
    </w:p>
    <w:p>
      <w:pPr>
        <w:autoSpaceDE w:val="0"/>
        <w:autoSpaceDN w:val="0"/>
        <w:adjustRightInd w:val="0"/>
        <w:ind w:left="420" w:hanging="420"/>
        <w:rPr>
          <w:rFonts w:ascii="宋体" w:eastAsia="宋体"/>
          <w:kern w:val="0"/>
          <w:sz w:val="24"/>
          <w:szCs w:val="24"/>
        </w:rPr>
      </w:pPr>
      <w:r>
        <w:rPr>
          <w:rFonts w:ascii="Times New Roman" w:hAnsi="Times New Roman" w:eastAsia="宋体" w:cs="Times New Roman"/>
          <w:color w:val="000000"/>
          <w:kern w:val="0"/>
          <w:sz w:val="20"/>
          <w:szCs w:val="20"/>
        </w:rPr>
        <w:t xml:space="preserve"> 2</w:t>
      </w:r>
      <w:r>
        <w:rPr>
          <w:rFonts w:ascii="Times New Roman" w:hAnsi="Times New Roman" w:eastAsia="宋体" w:cs="Times New Roman"/>
          <w:color w:val="000000"/>
          <w:kern w:val="0"/>
          <w:sz w:val="20"/>
          <w:szCs w:val="20"/>
        </w:rPr>
        <w:tab/>
      </w:r>
      <w:bookmarkStart w:id="11" w:name="_neb2EF778D2_56E6_4B7D_8B8C_9E44C00DB0D9"/>
      <w:r>
        <w:rPr>
          <w:rFonts w:ascii="Times New Roman" w:hAnsi="Times New Roman" w:eastAsia="宋体" w:cs="Times New Roman"/>
          <w:color w:val="000000"/>
          <w:kern w:val="0"/>
          <w:sz w:val="20"/>
          <w:szCs w:val="20"/>
        </w:rPr>
        <w:t>Gritti P, Sgarzi M, Carrara B, et al. A standardized protocol for the perioperative management of myasthenia gravis patients. Experience with 110 patients[J]. Acta Anaesthesiol Scand, 2012,56:66-75.</w:t>
      </w:r>
      <w:bookmarkEnd w:id="11"/>
    </w:p>
    <w:p>
      <w:pPr>
        <w:autoSpaceDE w:val="0"/>
        <w:autoSpaceDN w:val="0"/>
        <w:adjustRightInd w:val="0"/>
        <w:ind w:left="420" w:hanging="420"/>
        <w:rPr>
          <w:rFonts w:ascii="宋体" w:eastAsia="宋体"/>
          <w:kern w:val="0"/>
          <w:sz w:val="24"/>
          <w:szCs w:val="24"/>
        </w:rPr>
      </w:pPr>
      <w:r>
        <w:rPr>
          <w:rFonts w:ascii="Times New Roman" w:hAnsi="Times New Roman" w:eastAsia="宋体" w:cs="Times New Roman"/>
          <w:color w:val="000000"/>
          <w:kern w:val="0"/>
          <w:sz w:val="20"/>
          <w:szCs w:val="20"/>
        </w:rPr>
        <w:t xml:space="preserve"> 3</w:t>
      </w:r>
      <w:r>
        <w:rPr>
          <w:rFonts w:ascii="Times New Roman" w:hAnsi="Times New Roman" w:eastAsia="宋体" w:cs="Times New Roman"/>
          <w:color w:val="000000"/>
          <w:kern w:val="0"/>
          <w:sz w:val="20"/>
          <w:szCs w:val="20"/>
        </w:rPr>
        <w:tab/>
      </w:r>
      <w:bookmarkStart w:id="12" w:name="_neb0E7B4C51_616F_4349_AAB3_586A20597114"/>
      <w:r>
        <w:rPr>
          <w:rFonts w:hint="eastAsia" w:ascii="宋体" w:eastAsia="宋体" w:cs="宋体"/>
          <w:color w:val="000000"/>
          <w:kern w:val="0"/>
          <w:sz w:val="20"/>
          <w:szCs w:val="20"/>
        </w:rPr>
        <w:t>韩琦</w:t>
      </w:r>
      <w:r>
        <w:rPr>
          <w:rFonts w:ascii="Times New Roman" w:hAnsi="Times New Roman" w:eastAsia="宋体" w:cs="Times New Roman"/>
          <w:color w:val="000000"/>
          <w:kern w:val="0"/>
          <w:sz w:val="20"/>
          <w:szCs w:val="20"/>
        </w:rPr>
        <w:t xml:space="preserve">, </w:t>
      </w:r>
      <w:r>
        <w:rPr>
          <w:rFonts w:hint="eastAsia" w:ascii="宋体" w:eastAsia="宋体" w:cs="宋体"/>
          <w:color w:val="000000"/>
          <w:kern w:val="0"/>
          <w:sz w:val="20"/>
          <w:szCs w:val="20"/>
        </w:rPr>
        <w:t>沙鹏</w:t>
      </w:r>
      <w:r>
        <w:rPr>
          <w:rFonts w:ascii="Times New Roman" w:hAnsi="Times New Roman" w:eastAsia="宋体" w:cs="Times New Roman"/>
          <w:color w:val="000000"/>
          <w:kern w:val="0"/>
          <w:sz w:val="20"/>
          <w:szCs w:val="20"/>
        </w:rPr>
        <w:t xml:space="preserve">, </w:t>
      </w:r>
      <w:r>
        <w:rPr>
          <w:rFonts w:hint="eastAsia" w:ascii="宋体" w:eastAsia="宋体" w:cs="宋体"/>
          <w:color w:val="000000"/>
          <w:kern w:val="0"/>
          <w:sz w:val="20"/>
          <w:szCs w:val="20"/>
        </w:rPr>
        <w:t>王云甫</w:t>
      </w:r>
      <w:r>
        <w:rPr>
          <w:rFonts w:ascii="Times New Roman" w:hAnsi="Times New Roman" w:eastAsia="宋体" w:cs="Times New Roman"/>
          <w:color w:val="000000"/>
          <w:kern w:val="0"/>
          <w:sz w:val="20"/>
          <w:szCs w:val="20"/>
        </w:rPr>
        <w:t xml:space="preserve">. </w:t>
      </w:r>
      <w:r>
        <w:rPr>
          <w:rFonts w:hint="eastAsia" w:ascii="宋体" w:eastAsia="宋体" w:cs="宋体"/>
          <w:color w:val="000000"/>
          <w:kern w:val="0"/>
          <w:sz w:val="20"/>
          <w:szCs w:val="20"/>
        </w:rPr>
        <w:t>重症肌无力患者手术切除胸腺疗效相关机制探讨</w:t>
      </w:r>
      <w:r>
        <w:rPr>
          <w:rFonts w:ascii="Times New Roman" w:hAnsi="Times New Roman" w:eastAsia="宋体" w:cs="Times New Roman"/>
          <w:color w:val="000000"/>
          <w:kern w:val="0"/>
          <w:sz w:val="20"/>
          <w:szCs w:val="20"/>
        </w:rPr>
        <w:t xml:space="preserve">[J]. </w:t>
      </w:r>
      <w:r>
        <w:rPr>
          <w:rFonts w:hint="eastAsia" w:ascii="宋体" w:eastAsia="宋体" w:cs="宋体"/>
          <w:color w:val="000000"/>
          <w:kern w:val="0"/>
          <w:sz w:val="20"/>
          <w:szCs w:val="20"/>
        </w:rPr>
        <w:t>内科急危重症杂志</w:t>
      </w:r>
      <w:r>
        <w:rPr>
          <w:rFonts w:ascii="Times New Roman" w:hAnsi="Times New Roman" w:eastAsia="宋体" w:cs="Times New Roman"/>
          <w:color w:val="000000"/>
          <w:kern w:val="0"/>
          <w:sz w:val="20"/>
          <w:szCs w:val="20"/>
        </w:rPr>
        <w:t>, 2015,21:305-307.</w:t>
      </w:r>
      <w:bookmarkEnd w:id="12"/>
    </w:p>
    <w:p>
      <w:pPr>
        <w:autoSpaceDE w:val="0"/>
        <w:autoSpaceDN w:val="0"/>
        <w:adjustRightInd w:val="0"/>
        <w:ind w:left="420" w:hanging="420"/>
        <w:rPr>
          <w:rFonts w:ascii="宋体" w:eastAsia="宋体"/>
          <w:kern w:val="0"/>
          <w:sz w:val="24"/>
          <w:szCs w:val="24"/>
        </w:rPr>
      </w:pPr>
      <w:r>
        <w:rPr>
          <w:rFonts w:ascii="Times New Roman" w:hAnsi="Times New Roman" w:eastAsia="宋体" w:cs="Times New Roman"/>
          <w:color w:val="000000"/>
          <w:kern w:val="0"/>
          <w:sz w:val="20"/>
          <w:szCs w:val="20"/>
        </w:rPr>
        <w:t xml:space="preserve"> 4</w:t>
      </w:r>
      <w:r>
        <w:rPr>
          <w:rFonts w:ascii="Times New Roman" w:hAnsi="Times New Roman" w:eastAsia="宋体" w:cs="Times New Roman"/>
          <w:color w:val="000000"/>
          <w:kern w:val="0"/>
          <w:sz w:val="20"/>
          <w:szCs w:val="20"/>
        </w:rPr>
        <w:tab/>
      </w:r>
      <w:bookmarkStart w:id="13" w:name="_nebF5A85526_5665_4A93_AB8D_A8B05095EA20"/>
      <w:r>
        <w:rPr>
          <w:rFonts w:ascii="Times New Roman" w:hAnsi="Times New Roman" w:eastAsia="宋体" w:cs="Times New Roman"/>
          <w:color w:val="000000"/>
          <w:kern w:val="0"/>
          <w:sz w:val="20"/>
          <w:szCs w:val="20"/>
        </w:rPr>
        <w:t>Chaudhuri A, Behan PO. Myasthenic crisis[J]. QJM, 2009,102:97-107.</w:t>
      </w:r>
      <w:bookmarkEnd w:id="13"/>
    </w:p>
    <w:p>
      <w:pPr>
        <w:autoSpaceDE w:val="0"/>
        <w:autoSpaceDN w:val="0"/>
        <w:adjustRightInd w:val="0"/>
        <w:ind w:left="420" w:hanging="420"/>
        <w:rPr>
          <w:rFonts w:ascii="宋体" w:eastAsia="宋体"/>
          <w:kern w:val="0"/>
          <w:sz w:val="24"/>
          <w:szCs w:val="24"/>
        </w:rPr>
      </w:pPr>
      <w:r>
        <w:rPr>
          <w:rFonts w:ascii="Times New Roman" w:hAnsi="Times New Roman" w:eastAsia="宋体" w:cs="Times New Roman"/>
          <w:color w:val="000000"/>
          <w:kern w:val="0"/>
          <w:sz w:val="20"/>
          <w:szCs w:val="20"/>
        </w:rPr>
        <w:t xml:space="preserve"> 5</w:t>
      </w:r>
      <w:r>
        <w:rPr>
          <w:rFonts w:ascii="Times New Roman" w:hAnsi="Times New Roman" w:eastAsia="宋体" w:cs="Times New Roman"/>
          <w:color w:val="000000"/>
          <w:kern w:val="0"/>
          <w:sz w:val="20"/>
          <w:szCs w:val="20"/>
        </w:rPr>
        <w:tab/>
      </w:r>
      <w:bookmarkStart w:id="14" w:name="_neb6E10A127_0C4A_4FAD_BA97_BED7AFBABF82"/>
      <w:r>
        <w:rPr>
          <w:rFonts w:ascii="Times New Roman" w:hAnsi="Times New Roman" w:eastAsia="宋体" w:cs="Times New Roman"/>
          <w:color w:val="000000"/>
          <w:kern w:val="0"/>
          <w:sz w:val="20"/>
          <w:szCs w:val="20"/>
        </w:rPr>
        <w:t>Nam TS, Lee SH, Kim BC, et al. Clinical characteristics and predictive factors of myasthenic crisis after thymectomy[J]. J Clin Neurosci, 2011,18:1185-1188.</w:t>
      </w:r>
      <w:bookmarkEnd w:id="14"/>
    </w:p>
    <w:p>
      <w:pPr>
        <w:autoSpaceDE w:val="0"/>
        <w:autoSpaceDN w:val="0"/>
        <w:adjustRightInd w:val="0"/>
        <w:ind w:left="420" w:hanging="420"/>
        <w:rPr>
          <w:rFonts w:ascii="宋体" w:eastAsia="宋体"/>
          <w:kern w:val="0"/>
          <w:sz w:val="24"/>
          <w:szCs w:val="24"/>
        </w:rPr>
      </w:pPr>
      <w:r>
        <w:rPr>
          <w:rFonts w:ascii="Times New Roman" w:hAnsi="Times New Roman" w:eastAsia="宋体" w:cs="Times New Roman"/>
          <w:color w:val="000000"/>
          <w:kern w:val="0"/>
          <w:sz w:val="20"/>
          <w:szCs w:val="20"/>
        </w:rPr>
        <w:t xml:space="preserve"> 6</w:t>
      </w:r>
      <w:r>
        <w:rPr>
          <w:rFonts w:ascii="Times New Roman" w:hAnsi="Times New Roman" w:eastAsia="宋体" w:cs="Times New Roman"/>
          <w:color w:val="000000"/>
          <w:kern w:val="0"/>
          <w:sz w:val="20"/>
          <w:szCs w:val="20"/>
        </w:rPr>
        <w:tab/>
      </w:r>
      <w:bookmarkStart w:id="15" w:name="_nebB18262A3_77D1_4303_A852_04108519E359"/>
      <w:r>
        <w:rPr>
          <w:rFonts w:hint="eastAsia" w:ascii="宋体" w:eastAsia="宋体" w:cs="宋体"/>
          <w:color w:val="000000"/>
          <w:kern w:val="0"/>
          <w:sz w:val="20"/>
          <w:szCs w:val="20"/>
        </w:rPr>
        <w:t>张忱</w:t>
      </w:r>
      <w:r>
        <w:rPr>
          <w:rFonts w:ascii="Times New Roman" w:hAnsi="Times New Roman" w:eastAsia="宋体" w:cs="Times New Roman"/>
          <w:color w:val="000000"/>
          <w:kern w:val="0"/>
          <w:sz w:val="20"/>
          <w:szCs w:val="20"/>
        </w:rPr>
        <w:t xml:space="preserve">, </w:t>
      </w:r>
      <w:r>
        <w:rPr>
          <w:rFonts w:hint="eastAsia" w:ascii="宋体" w:eastAsia="宋体" w:cs="宋体"/>
          <w:color w:val="000000"/>
          <w:kern w:val="0"/>
          <w:sz w:val="20"/>
          <w:szCs w:val="20"/>
        </w:rPr>
        <w:t>李蜀渝</w:t>
      </w:r>
      <w:r>
        <w:rPr>
          <w:rFonts w:ascii="Times New Roman" w:hAnsi="Times New Roman" w:eastAsia="宋体" w:cs="Times New Roman"/>
          <w:color w:val="000000"/>
          <w:kern w:val="0"/>
          <w:sz w:val="20"/>
          <w:szCs w:val="20"/>
        </w:rPr>
        <w:t xml:space="preserve">, </w:t>
      </w:r>
      <w:r>
        <w:rPr>
          <w:rFonts w:hint="eastAsia" w:ascii="宋体" w:eastAsia="宋体" w:cs="宋体"/>
          <w:color w:val="000000"/>
          <w:kern w:val="0"/>
          <w:sz w:val="20"/>
          <w:szCs w:val="20"/>
        </w:rPr>
        <w:t>肖波</w:t>
      </w:r>
      <w:r>
        <w:rPr>
          <w:rFonts w:ascii="Times New Roman" w:hAnsi="Times New Roman" w:eastAsia="宋体" w:cs="Times New Roman"/>
          <w:color w:val="000000"/>
          <w:kern w:val="0"/>
          <w:sz w:val="20"/>
          <w:szCs w:val="20"/>
        </w:rPr>
        <w:t xml:space="preserve">, </w:t>
      </w:r>
      <w:r>
        <w:rPr>
          <w:rFonts w:hint="eastAsia" w:ascii="宋体" w:eastAsia="宋体" w:cs="宋体"/>
          <w:color w:val="000000"/>
          <w:kern w:val="0"/>
          <w:sz w:val="20"/>
          <w:szCs w:val="20"/>
        </w:rPr>
        <w:t>等</w:t>
      </w:r>
      <w:r>
        <w:rPr>
          <w:rFonts w:ascii="Times New Roman" w:hAnsi="Times New Roman" w:eastAsia="宋体" w:cs="Times New Roman"/>
          <w:color w:val="000000"/>
          <w:kern w:val="0"/>
          <w:sz w:val="20"/>
          <w:szCs w:val="20"/>
        </w:rPr>
        <w:t xml:space="preserve">. </w:t>
      </w:r>
      <w:r>
        <w:rPr>
          <w:rFonts w:hint="eastAsia" w:ascii="宋体" w:eastAsia="宋体" w:cs="宋体"/>
          <w:color w:val="000000"/>
          <w:kern w:val="0"/>
          <w:sz w:val="20"/>
          <w:szCs w:val="20"/>
        </w:rPr>
        <w:t>重症肌无力危象</w:t>
      </w:r>
      <w:r>
        <w:rPr>
          <w:rFonts w:ascii="Times New Roman" w:hAnsi="Times New Roman" w:eastAsia="宋体" w:cs="Times New Roman"/>
          <w:color w:val="000000"/>
          <w:kern w:val="0"/>
          <w:sz w:val="20"/>
          <w:szCs w:val="20"/>
        </w:rPr>
        <w:t>74</w:t>
      </w:r>
      <w:r>
        <w:rPr>
          <w:rFonts w:hint="eastAsia" w:ascii="宋体" w:eastAsia="宋体" w:cs="宋体"/>
          <w:color w:val="000000"/>
          <w:kern w:val="0"/>
          <w:sz w:val="20"/>
          <w:szCs w:val="20"/>
        </w:rPr>
        <w:t>例临床分析</w:t>
      </w:r>
      <w:r>
        <w:rPr>
          <w:rFonts w:ascii="Times New Roman" w:hAnsi="Times New Roman" w:eastAsia="宋体" w:cs="Times New Roman"/>
          <w:color w:val="000000"/>
          <w:kern w:val="0"/>
          <w:sz w:val="20"/>
          <w:szCs w:val="20"/>
        </w:rPr>
        <w:t xml:space="preserve">[J]. </w:t>
      </w:r>
      <w:r>
        <w:rPr>
          <w:rFonts w:hint="eastAsia" w:ascii="宋体" w:eastAsia="宋体" w:cs="宋体"/>
          <w:color w:val="000000"/>
          <w:kern w:val="0"/>
          <w:sz w:val="20"/>
          <w:szCs w:val="20"/>
        </w:rPr>
        <w:t>内科急危重症杂志</w:t>
      </w:r>
      <w:r>
        <w:rPr>
          <w:rFonts w:ascii="Times New Roman" w:hAnsi="Times New Roman" w:eastAsia="宋体" w:cs="Times New Roman"/>
          <w:color w:val="000000"/>
          <w:kern w:val="0"/>
          <w:sz w:val="20"/>
          <w:szCs w:val="20"/>
        </w:rPr>
        <w:t>, 2010,16:94-95, 99.</w:t>
      </w:r>
      <w:bookmarkEnd w:id="15"/>
    </w:p>
    <w:p>
      <w:pPr>
        <w:autoSpaceDE w:val="0"/>
        <w:autoSpaceDN w:val="0"/>
        <w:adjustRightInd w:val="0"/>
        <w:ind w:left="420" w:hanging="420"/>
        <w:rPr>
          <w:rFonts w:ascii="宋体" w:eastAsia="宋体"/>
          <w:kern w:val="0"/>
          <w:sz w:val="24"/>
          <w:szCs w:val="24"/>
        </w:rPr>
      </w:pPr>
      <w:r>
        <w:rPr>
          <w:rFonts w:ascii="Times New Roman" w:hAnsi="Times New Roman" w:eastAsia="宋体" w:cs="Times New Roman"/>
          <w:color w:val="000000"/>
          <w:kern w:val="0"/>
          <w:sz w:val="20"/>
          <w:szCs w:val="20"/>
        </w:rPr>
        <w:t xml:space="preserve"> 7</w:t>
      </w:r>
      <w:r>
        <w:rPr>
          <w:rFonts w:ascii="Times New Roman" w:hAnsi="Times New Roman" w:eastAsia="宋体" w:cs="Times New Roman"/>
          <w:color w:val="000000"/>
          <w:kern w:val="0"/>
          <w:sz w:val="20"/>
          <w:szCs w:val="20"/>
        </w:rPr>
        <w:tab/>
      </w:r>
      <w:bookmarkStart w:id="16" w:name="_nebC395AC69_2D90_438F_8DFD_FB9AD659DF6D"/>
      <w:r>
        <w:rPr>
          <w:rFonts w:ascii="Times New Roman" w:hAnsi="Times New Roman" w:eastAsia="宋体" w:cs="Times New Roman"/>
          <w:color w:val="000000"/>
          <w:kern w:val="0"/>
          <w:sz w:val="20"/>
          <w:szCs w:val="20"/>
        </w:rPr>
        <w:t>Van Berkel MA, Twilla JD, England BS. Emergency Department Management of a Myasthenia Gravis Patient with Community-Acquired Pneumonia: Does Initial Antibiotic Choice Lead to Cure or Crisis?[J]. J Emerg Med, 2016,50:281-285.</w:t>
      </w:r>
      <w:bookmarkEnd w:id="16"/>
    </w:p>
    <w:p>
      <w:pPr>
        <w:autoSpaceDE w:val="0"/>
        <w:autoSpaceDN w:val="0"/>
        <w:adjustRightInd w:val="0"/>
        <w:ind w:left="420" w:hanging="420"/>
        <w:rPr>
          <w:rFonts w:ascii="宋体" w:eastAsia="宋体"/>
          <w:kern w:val="0"/>
          <w:sz w:val="24"/>
          <w:szCs w:val="24"/>
        </w:rPr>
      </w:pPr>
      <w:r>
        <w:rPr>
          <w:rFonts w:ascii="Times New Roman" w:hAnsi="Times New Roman" w:eastAsia="宋体" w:cs="Times New Roman"/>
          <w:color w:val="000000"/>
          <w:kern w:val="0"/>
          <w:sz w:val="20"/>
          <w:szCs w:val="20"/>
        </w:rPr>
        <w:t xml:space="preserve"> 8</w:t>
      </w:r>
      <w:r>
        <w:rPr>
          <w:rFonts w:ascii="Times New Roman" w:hAnsi="Times New Roman" w:eastAsia="宋体" w:cs="Times New Roman"/>
          <w:color w:val="000000"/>
          <w:kern w:val="0"/>
          <w:sz w:val="20"/>
          <w:szCs w:val="20"/>
        </w:rPr>
        <w:tab/>
      </w:r>
      <w:bookmarkStart w:id="17" w:name="_nebE167AF98_5E16_441C_A19F_205067D4F45F"/>
      <w:r>
        <w:rPr>
          <w:rFonts w:ascii="Times New Roman" w:hAnsi="Times New Roman" w:eastAsia="宋体" w:cs="Times New Roman"/>
          <w:color w:val="000000"/>
          <w:kern w:val="0"/>
          <w:sz w:val="20"/>
          <w:szCs w:val="20"/>
        </w:rPr>
        <w:t>Wendell LC, Levine JM. Myasthenic crisis[J]. Neurohospitalist, 2011,1:16-22.</w:t>
      </w:r>
      <w:bookmarkEnd w:id="17"/>
    </w:p>
    <w:p>
      <w:pPr>
        <w:autoSpaceDE w:val="0"/>
        <w:autoSpaceDN w:val="0"/>
        <w:adjustRightInd w:val="0"/>
        <w:ind w:left="420" w:hanging="420"/>
        <w:rPr>
          <w:rFonts w:ascii="宋体" w:eastAsia="宋体"/>
          <w:kern w:val="0"/>
          <w:sz w:val="24"/>
          <w:szCs w:val="24"/>
        </w:rPr>
      </w:pPr>
      <w:r>
        <w:rPr>
          <w:rFonts w:ascii="Times New Roman" w:hAnsi="Times New Roman" w:eastAsia="宋体" w:cs="Times New Roman"/>
          <w:color w:val="000000"/>
          <w:kern w:val="0"/>
          <w:sz w:val="20"/>
          <w:szCs w:val="20"/>
        </w:rPr>
        <w:t xml:space="preserve"> 9</w:t>
      </w:r>
      <w:r>
        <w:rPr>
          <w:rFonts w:ascii="Times New Roman" w:hAnsi="Times New Roman" w:eastAsia="宋体" w:cs="Times New Roman"/>
          <w:color w:val="000000"/>
          <w:kern w:val="0"/>
          <w:sz w:val="20"/>
          <w:szCs w:val="20"/>
        </w:rPr>
        <w:tab/>
      </w:r>
      <w:bookmarkStart w:id="18" w:name="_neb45F59FDD_BA07_498B_88F4_2C631A68B38D"/>
      <w:r>
        <w:rPr>
          <w:rFonts w:ascii="Times New Roman" w:hAnsi="Times New Roman" w:eastAsia="宋体" w:cs="Times New Roman"/>
          <w:color w:val="000000"/>
          <w:kern w:val="0"/>
          <w:sz w:val="20"/>
          <w:szCs w:val="20"/>
        </w:rPr>
        <w:t>Sieb JP. Myasthenia gravis: an update for the clinician[J]. Clin Exp Immunol, 2014,175:408-418.</w:t>
      </w:r>
      <w:bookmarkEnd w:id="18"/>
    </w:p>
    <w:p>
      <w:pPr>
        <w:autoSpaceDE w:val="0"/>
        <w:autoSpaceDN w:val="0"/>
        <w:adjustRightInd w:val="0"/>
        <w:ind w:left="420" w:hanging="420"/>
        <w:rPr>
          <w:rFonts w:ascii="宋体" w:eastAsia="宋体"/>
          <w:kern w:val="0"/>
          <w:sz w:val="24"/>
          <w:szCs w:val="24"/>
        </w:rPr>
      </w:pPr>
      <w:r>
        <w:rPr>
          <w:rFonts w:ascii="Times New Roman" w:hAnsi="Times New Roman" w:eastAsia="宋体" w:cs="Times New Roman"/>
          <w:color w:val="000000"/>
          <w:kern w:val="0"/>
          <w:sz w:val="20"/>
          <w:szCs w:val="20"/>
        </w:rPr>
        <w:t>10</w:t>
      </w:r>
      <w:r>
        <w:rPr>
          <w:rFonts w:ascii="Times New Roman" w:hAnsi="Times New Roman" w:eastAsia="宋体" w:cs="Times New Roman"/>
          <w:color w:val="000000"/>
          <w:kern w:val="0"/>
          <w:sz w:val="20"/>
          <w:szCs w:val="20"/>
        </w:rPr>
        <w:tab/>
      </w:r>
      <w:bookmarkStart w:id="19" w:name="_neb9A2EFED0_B35D_4C8B_BE27_BBE45E32B522"/>
      <w:r>
        <w:rPr>
          <w:rFonts w:hint="eastAsia" w:ascii="宋体" w:eastAsia="宋体" w:cs="宋体"/>
          <w:color w:val="000000"/>
          <w:kern w:val="0"/>
          <w:sz w:val="20"/>
          <w:szCs w:val="20"/>
        </w:rPr>
        <w:t>刘宇</w:t>
      </w:r>
      <w:r>
        <w:rPr>
          <w:rFonts w:ascii="Times New Roman" w:hAnsi="Times New Roman" w:eastAsia="宋体" w:cs="Times New Roman"/>
          <w:color w:val="000000"/>
          <w:kern w:val="0"/>
          <w:sz w:val="20"/>
          <w:szCs w:val="20"/>
        </w:rPr>
        <w:t xml:space="preserve">, </w:t>
      </w:r>
      <w:r>
        <w:rPr>
          <w:rFonts w:hint="eastAsia" w:ascii="宋体" w:eastAsia="宋体" w:cs="宋体"/>
          <w:color w:val="000000"/>
          <w:kern w:val="0"/>
          <w:sz w:val="20"/>
          <w:szCs w:val="20"/>
        </w:rPr>
        <w:t>束余声</w:t>
      </w:r>
      <w:r>
        <w:rPr>
          <w:rFonts w:ascii="Times New Roman" w:hAnsi="Times New Roman" w:eastAsia="宋体" w:cs="Times New Roman"/>
          <w:color w:val="000000"/>
          <w:kern w:val="0"/>
          <w:sz w:val="20"/>
          <w:szCs w:val="20"/>
        </w:rPr>
        <w:t xml:space="preserve">. </w:t>
      </w:r>
      <w:r>
        <w:rPr>
          <w:rFonts w:hint="eastAsia" w:ascii="宋体" w:eastAsia="宋体" w:cs="宋体"/>
          <w:color w:val="000000"/>
          <w:kern w:val="0"/>
          <w:sz w:val="20"/>
          <w:szCs w:val="20"/>
        </w:rPr>
        <w:t>胸腺切除术后发生肌无力危象危险因素的</w:t>
      </w:r>
      <w:r>
        <w:rPr>
          <w:rFonts w:ascii="Times New Roman" w:hAnsi="Times New Roman" w:eastAsia="宋体" w:cs="Times New Roman"/>
          <w:color w:val="000000"/>
          <w:kern w:val="0"/>
          <w:sz w:val="20"/>
          <w:szCs w:val="20"/>
        </w:rPr>
        <w:t>Meta</w:t>
      </w:r>
      <w:r>
        <w:rPr>
          <w:rFonts w:hint="eastAsia" w:ascii="宋体" w:eastAsia="宋体" w:cs="宋体"/>
          <w:color w:val="000000"/>
          <w:kern w:val="0"/>
          <w:sz w:val="20"/>
          <w:szCs w:val="20"/>
        </w:rPr>
        <w:t>分析</w:t>
      </w:r>
      <w:r>
        <w:rPr>
          <w:rFonts w:ascii="Times New Roman" w:hAnsi="Times New Roman" w:eastAsia="宋体" w:cs="Times New Roman"/>
          <w:color w:val="000000"/>
          <w:kern w:val="0"/>
          <w:sz w:val="20"/>
          <w:szCs w:val="20"/>
        </w:rPr>
        <w:t xml:space="preserve">[J]. </w:t>
      </w:r>
      <w:r>
        <w:rPr>
          <w:rFonts w:hint="eastAsia" w:ascii="宋体" w:eastAsia="宋体" w:cs="宋体"/>
          <w:color w:val="000000"/>
          <w:kern w:val="0"/>
          <w:sz w:val="20"/>
          <w:szCs w:val="20"/>
        </w:rPr>
        <w:t>中华胸心血管外科杂志</w:t>
      </w:r>
      <w:r>
        <w:rPr>
          <w:rFonts w:ascii="Times New Roman" w:hAnsi="Times New Roman" w:eastAsia="宋体" w:cs="Times New Roman"/>
          <w:color w:val="000000"/>
          <w:kern w:val="0"/>
          <w:sz w:val="20"/>
          <w:szCs w:val="20"/>
        </w:rPr>
        <w:t>, 2015,31:660-664.</w:t>
      </w:r>
      <w:bookmarkEnd w:id="19"/>
    </w:p>
    <w:p>
      <w:pPr>
        <w:autoSpaceDE w:val="0"/>
        <w:autoSpaceDN w:val="0"/>
        <w:adjustRightInd w:val="0"/>
        <w:ind w:left="420" w:hanging="420"/>
        <w:rPr>
          <w:rFonts w:ascii="宋体" w:eastAsia="宋体"/>
          <w:kern w:val="0"/>
          <w:sz w:val="24"/>
          <w:szCs w:val="24"/>
        </w:rPr>
      </w:pPr>
      <w:r>
        <w:rPr>
          <w:rFonts w:ascii="Times New Roman" w:hAnsi="Times New Roman" w:eastAsia="宋体" w:cs="Times New Roman"/>
          <w:color w:val="000000"/>
          <w:kern w:val="0"/>
          <w:sz w:val="20"/>
          <w:szCs w:val="20"/>
        </w:rPr>
        <w:t>11</w:t>
      </w:r>
      <w:r>
        <w:rPr>
          <w:rFonts w:ascii="Times New Roman" w:hAnsi="Times New Roman" w:eastAsia="宋体" w:cs="Times New Roman"/>
          <w:color w:val="000000"/>
          <w:kern w:val="0"/>
          <w:sz w:val="20"/>
          <w:szCs w:val="20"/>
        </w:rPr>
        <w:tab/>
      </w:r>
      <w:bookmarkStart w:id="20" w:name="_nebD55861B6_FE1C_4BF9_ADAE_334B2F9D8C21"/>
      <w:r>
        <w:rPr>
          <w:rFonts w:ascii="Times New Roman" w:hAnsi="Times New Roman" w:eastAsia="宋体" w:cs="Times New Roman"/>
          <w:color w:val="000000"/>
          <w:kern w:val="0"/>
          <w:sz w:val="20"/>
          <w:szCs w:val="20"/>
        </w:rPr>
        <w:t>Wu Y, Chen Y, Liu H, et al. Risk factors for developing postthymectomy myasthenic crisis in Thymoma Patients[J]. J Cancer Res Ther, 2015,11 Suppl 1:C115-C117.</w:t>
      </w:r>
      <w:bookmarkEnd w:id="20"/>
    </w:p>
    <w:p>
      <w:pPr>
        <w:autoSpaceDE w:val="0"/>
        <w:autoSpaceDN w:val="0"/>
        <w:adjustRightInd w:val="0"/>
        <w:ind w:left="420" w:hanging="420"/>
        <w:rPr>
          <w:rFonts w:ascii="宋体" w:eastAsia="宋体"/>
          <w:kern w:val="0"/>
          <w:sz w:val="24"/>
          <w:szCs w:val="24"/>
        </w:rPr>
      </w:pPr>
      <w:r>
        <w:rPr>
          <w:rFonts w:ascii="Times New Roman" w:hAnsi="Times New Roman" w:eastAsia="宋体" w:cs="Times New Roman"/>
          <w:color w:val="000000"/>
          <w:kern w:val="0"/>
          <w:sz w:val="20"/>
          <w:szCs w:val="20"/>
        </w:rPr>
        <w:t>12</w:t>
      </w:r>
      <w:r>
        <w:rPr>
          <w:rFonts w:ascii="Times New Roman" w:hAnsi="Times New Roman" w:eastAsia="宋体" w:cs="Times New Roman"/>
          <w:color w:val="000000"/>
          <w:kern w:val="0"/>
          <w:sz w:val="20"/>
          <w:szCs w:val="20"/>
        </w:rPr>
        <w:tab/>
      </w:r>
      <w:bookmarkStart w:id="21" w:name="_neb7831DE6C_8108_4278_93F3_963DE4DC4D94"/>
      <w:r>
        <w:rPr>
          <w:rFonts w:ascii="Times New Roman" w:hAnsi="Times New Roman" w:eastAsia="宋体" w:cs="Times New Roman"/>
          <w:color w:val="000000"/>
          <w:kern w:val="0"/>
          <w:sz w:val="20"/>
          <w:szCs w:val="20"/>
        </w:rPr>
        <w:t>Ando T, Omasa M, Kondo T, et al. Predictive factors of myasthenic crisis after extended thymectomy for patients with myasthenia gravis[J]. Eur J Cardiothorac Surg, 2015,48:705-709, 709.</w:t>
      </w:r>
      <w:bookmarkEnd w:id="21"/>
    </w:p>
    <w:p>
      <w:pPr>
        <w:autoSpaceDE w:val="0"/>
        <w:autoSpaceDN w:val="0"/>
        <w:adjustRightInd w:val="0"/>
        <w:ind w:left="420" w:hanging="420"/>
        <w:rPr>
          <w:rFonts w:ascii="宋体" w:eastAsia="宋体"/>
          <w:kern w:val="0"/>
          <w:sz w:val="24"/>
          <w:szCs w:val="24"/>
        </w:rPr>
      </w:pPr>
      <w:r>
        <w:rPr>
          <w:rFonts w:ascii="Times New Roman" w:hAnsi="Times New Roman" w:eastAsia="宋体" w:cs="Times New Roman"/>
          <w:color w:val="000000"/>
          <w:kern w:val="0"/>
          <w:sz w:val="20"/>
          <w:szCs w:val="20"/>
        </w:rPr>
        <w:t>13</w:t>
      </w:r>
      <w:r>
        <w:rPr>
          <w:rFonts w:ascii="Times New Roman" w:hAnsi="Times New Roman" w:eastAsia="宋体" w:cs="Times New Roman"/>
          <w:color w:val="000000"/>
          <w:kern w:val="0"/>
          <w:sz w:val="20"/>
          <w:szCs w:val="20"/>
        </w:rPr>
        <w:tab/>
      </w:r>
      <w:bookmarkStart w:id="22" w:name="_nebCECCF02D_9E0F_4E2A_B7CC_615577910761"/>
      <w:r>
        <w:rPr>
          <w:rFonts w:ascii="Times New Roman" w:hAnsi="Times New Roman" w:eastAsia="宋体" w:cs="Times New Roman"/>
          <w:color w:val="000000"/>
          <w:kern w:val="0"/>
          <w:sz w:val="20"/>
          <w:szCs w:val="20"/>
        </w:rPr>
        <w:t>Watanabe A, Watanabe T, Obama T, et al. Prognostic factors for myasthenic crisis after transsternal thymectomy in patients with myasthenia gravis[J]. J Thorac Cardiovasc Surg, 2004,127:868-876.</w:t>
      </w:r>
      <w:bookmarkEnd w:id="22"/>
    </w:p>
    <w:p>
      <w:pPr>
        <w:autoSpaceDE w:val="0"/>
        <w:autoSpaceDN w:val="0"/>
        <w:adjustRightInd w:val="0"/>
        <w:ind w:left="420" w:hanging="420"/>
        <w:rPr>
          <w:rFonts w:ascii="宋体" w:eastAsia="宋体"/>
          <w:kern w:val="0"/>
          <w:sz w:val="24"/>
          <w:szCs w:val="24"/>
        </w:rPr>
      </w:pPr>
      <w:r>
        <w:rPr>
          <w:rFonts w:ascii="Times New Roman" w:hAnsi="Times New Roman" w:eastAsia="宋体" w:cs="Times New Roman"/>
          <w:color w:val="000000"/>
          <w:kern w:val="0"/>
          <w:sz w:val="20"/>
          <w:szCs w:val="20"/>
        </w:rPr>
        <w:t>14</w:t>
      </w:r>
      <w:r>
        <w:rPr>
          <w:rFonts w:ascii="Times New Roman" w:hAnsi="Times New Roman" w:eastAsia="宋体" w:cs="Times New Roman"/>
          <w:color w:val="000000"/>
          <w:kern w:val="0"/>
          <w:sz w:val="20"/>
          <w:szCs w:val="20"/>
        </w:rPr>
        <w:tab/>
      </w:r>
      <w:bookmarkStart w:id="23" w:name="_nebE273D800_6BEA_44D8_B2D1_EC7F8A496D5B"/>
      <w:r>
        <w:rPr>
          <w:rFonts w:ascii="Times New Roman" w:hAnsi="Times New Roman" w:eastAsia="宋体" w:cs="Times New Roman"/>
          <w:color w:val="000000"/>
          <w:kern w:val="0"/>
          <w:sz w:val="20"/>
          <w:szCs w:val="20"/>
        </w:rPr>
        <w:t>Yu S, Lin J, Fu X, et al. Risk factors of myasthenic crisis after thymectomy in 178 generalized myasthenia  gravis patients in a five-year follow-up study[J]. Int J Neurosci, 2014,124:792-798.</w:t>
      </w:r>
      <w:bookmarkEnd w:id="23"/>
    </w:p>
    <w:p>
      <w:pPr>
        <w:autoSpaceDE w:val="0"/>
        <w:autoSpaceDN w:val="0"/>
        <w:adjustRightInd w:val="0"/>
        <w:ind w:left="420" w:hanging="420"/>
        <w:rPr>
          <w:rFonts w:ascii="宋体" w:eastAsia="宋体"/>
          <w:kern w:val="0"/>
          <w:sz w:val="24"/>
          <w:szCs w:val="24"/>
        </w:rPr>
      </w:pPr>
      <w:r>
        <w:rPr>
          <w:rFonts w:ascii="Times New Roman" w:hAnsi="Times New Roman" w:eastAsia="宋体" w:cs="Times New Roman"/>
          <w:color w:val="000000"/>
          <w:kern w:val="0"/>
          <w:sz w:val="20"/>
          <w:szCs w:val="20"/>
        </w:rPr>
        <w:t>15</w:t>
      </w:r>
      <w:r>
        <w:rPr>
          <w:rFonts w:ascii="Times New Roman" w:hAnsi="Times New Roman" w:eastAsia="宋体" w:cs="Times New Roman"/>
          <w:color w:val="000000"/>
          <w:kern w:val="0"/>
          <w:sz w:val="20"/>
          <w:szCs w:val="20"/>
        </w:rPr>
        <w:tab/>
      </w:r>
      <w:bookmarkStart w:id="24" w:name="_neb42650A3D_9A2D_4760_92FC_F27C128CBC1D"/>
      <w:r>
        <w:rPr>
          <w:rFonts w:ascii="Times New Roman" w:hAnsi="Times New Roman" w:eastAsia="宋体" w:cs="Times New Roman"/>
          <w:color w:val="000000"/>
          <w:kern w:val="0"/>
          <w:sz w:val="20"/>
          <w:szCs w:val="20"/>
        </w:rPr>
        <w:t>Leuzzi G, Meacci E, Cusumano G, et al. Thymectomy in myasthenia gravis: proposal for a predictive score of postoperative myasthenic crisis[J]. Eur J Cardiothorac Surg, 2014,45:e76-e88, e88.</w:t>
      </w:r>
      <w:bookmarkEnd w:id="24"/>
    </w:p>
    <w:p>
      <w:pPr>
        <w:autoSpaceDE w:val="0"/>
        <w:autoSpaceDN w:val="0"/>
        <w:adjustRightInd w:val="0"/>
        <w:ind w:left="420" w:hanging="420"/>
        <w:rPr>
          <w:rFonts w:ascii="宋体" w:eastAsia="宋体"/>
          <w:kern w:val="0"/>
          <w:sz w:val="24"/>
          <w:szCs w:val="24"/>
        </w:rPr>
      </w:pPr>
      <w:r>
        <w:rPr>
          <w:rFonts w:ascii="Times New Roman" w:hAnsi="Times New Roman" w:eastAsia="宋体" w:cs="Times New Roman"/>
          <w:color w:val="000000"/>
          <w:kern w:val="0"/>
          <w:sz w:val="20"/>
          <w:szCs w:val="20"/>
        </w:rPr>
        <w:t>16</w:t>
      </w:r>
      <w:r>
        <w:rPr>
          <w:rFonts w:ascii="Times New Roman" w:hAnsi="Times New Roman" w:eastAsia="宋体" w:cs="Times New Roman"/>
          <w:color w:val="000000"/>
          <w:kern w:val="0"/>
          <w:sz w:val="20"/>
          <w:szCs w:val="20"/>
        </w:rPr>
        <w:tab/>
      </w:r>
      <w:bookmarkStart w:id="25" w:name="_neb40B59285_C732_49FF_B900_23892F2CE63C"/>
      <w:r>
        <w:rPr>
          <w:rFonts w:ascii="Times New Roman" w:hAnsi="Times New Roman" w:eastAsia="宋体" w:cs="Times New Roman"/>
          <w:color w:val="000000"/>
          <w:kern w:val="0"/>
          <w:sz w:val="20"/>
          <w:szCs w:val="20"/>
        </w:rPr>
        <w:t>Zou J, Su C, Lun X, et al. Preoperative Anxiety in Patients With Myasthenia Gravis and Risk for Myasthenic Crisis After Extended Transsternal Thymectomy: A CONSORT Study[J]. Medicine (Baltimore), 2016,95:e2828.</w:t>
      </w:r>
      <w:bookmarkEnd w:id="25"/>
    </w:p>
    <w:p>
      <w:pPr>
        <w:autoSpaceDE w:val="0"/>
        <w:autoSpaceDN w:val="0"/>
        <w:adjustRightInd w:val="0"/>
        <w:jc w:val="left"/>
        <w:rPr>
          <w:rFonts w:asciiTheme="majorEastAsia" w:hAnsiTheme="majorEastAsia" w:eastAsiaTheme="majorEastAsia"/>
          <w:sz w:val="24"/>
          <w:szCs w:val="24"/>
        </w:rPr>
        <w:sectPr>
          <w:type w:val="continuous"/>
          <w:pgSz w:w="11906" w:h="16838"/>
          <w:pgMar w:top="1440" w:right="1800" w:bottom="1440" w:left="1800" w:header="851" w:footer="992" w:gutter="0"/>
          <w:cols w:space="425" w:num="2"/>
          <w:docGrid w:type="lines" w:linePitch="312" w:charSpace="0"/>
        </w:sectPr>
      </w:pPr>
      <w:r>
        <w:rPr>
          <w:rFonts w:asciiTheme="majorEastAsia" w:hAnsiTheme="majorEastAsia" w:eastAsiaTheme="majorEastAsia"/>
          <w:sz w:val="24"/>
          <w:szCs w:val="24"/>
        </w:rPr>
        <w:fldChar w:fldCharType="end"/>
      </w:r>
    </w:p>
    <w:p>
      <w:pPr>
        <w:autoSpaceDE w:val="0"/>
        <w:autoSpaceDN w:val="0"/>
        <w:adjustRightInd w:val="0"/>
        <w:jc w:val="left"/>
        <w:rPr>
          <w:rFonts w:ascii="Times New Roman" w:hAnsi="Times New Roman" w:cs="Times New Roman"/>
          <w:kern w:val="0"/>
          <w:sz w:val="24"/>
          <w:szCs w:val="24"/>
        </w:rPr>
      </w:pPr>
      <w:r>
        <w:rPr>
          <w:rFonts w:asciiTheme="majorEastAsia" w:hAnsiTheme="majorEastAsia" w:eastAsiaTheme="majorEastAsia"/>
          <w:sz w:val="24"/>
          <w:szCs w:val="24"/>
        </w:rPr>
        <w:fldChar w:fldCharType="begin"/>
      </w:r>
      <w:r>
        <w:rPr>
          <w:rFonts w:asciiTheme="majorEastAsia" w:hAnsiTheme="majorEastAsia" w:eastAsiaTheme="majorEastAsia"/>
          <w:sz w:val="24"/>
          <w:szCs w:val="24"/>
        </w:rPr>
        <w:instrText xml:space="preserve"> ADDIN NE.Rep</w:instrText>
      </w:r>
      <w:r>
        <w:rPr>
          <w:rFonts w:asciiTheme="majorEastAsia" w:hAnsiTheme="majorEastAsia" w:eastAsiaTheme="majorEastAsia"/>
          <w:sz w:val="24"/>
          <w:szCs w:val="24"/>
        </w:rPr>
        <w:fldChar w:fldCharType="end"/>
      </w:r>
    </w:p>
    <w:sectPr>
      <w:type w:val="continuous"/>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00000001" w:usb1="080E0000" w:usb2="00000000" w:usb3="00000000" w:csb0="00040000"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mbria">
    <w:altName w:val="Shruti"/>
    <w:panose1 w:val="02040503050406030204"/>
    <w:charset w:val="00"/>
    <w:family w:val="modern"/>
    <w:pitch w:val="default"/>
    <w:sig w:usb0="00000000" w:usb1="00000000" w:usb2="00000000" w:usb3="00000000" w:csb0="0000019F" w:csb1="00000000"/>
  </w:font>
  <w:font w:name="Calibri">
    <w:altName w:val="Lucida Sans Unicode"/>
    <w:panose1 w:val="020F0502020204030204"/>
    <w:charset w:val="00"/>
    <w:family w:val="decorative"/>
    <w:pitch w:val="default"/>
    <w:sig w:usb0="00000000" w:usb1="00000000" w:usb2="00000001" w:usb3="00000000" w:csb0="0000019F" w:csb1="00000000"/>
  </w:font>
  <w:font w:name="FranklinGothic-Demi">
    <w:altName w:val="宋体"/>
    <w:panose1 w:val="00000000000000000000"/>
    <w:charset w:val="86"/>
    <w:family w:val="auto"/>
    <w:pitch w:val="default"/>
    <w:sig w:usb0="00000000" w:usb1="00000000" w:usb2="00000010" w:usb3="00000000" w:csb0="00040000" w:csb1="00000000"/>
  </w:font>
  <w:font w:name="Lucida Sans Unicode">
    <w:panose1 w:val="020B0602030504020204"/>
    <w:charset w:val="00"/>
    <w:family w:val="auto"/>
    <w:pitch w:val="default"/>
    <w:sig w:usb0="80001AFF" w:usb1="0000396B" w:usb2="00000000" w:usb3="00000000" w:csb0="0000003F" w:csb1="D7F70000"/>
  </w:font>
  <w:font w:name="Lucida Sans Unicode">
    <w:panose1 w:val="020B0602030504020204"/>
    <w:charset w:val="00"/>
    <w:family w:val="decorative"/>
    <w:pitch w:val="default"/>
    <w:sig w:usb0="80001AFF" w:usb1="0000396B" w:usb2="00000000" w:usb3="00000000" w:csb0="0000003F" w:csb1="D7F70000"/>
  </w:font>
  <w:font w:name="Shruti">
    <w:panose1 w:val="02000500000000000000"/>
    <w:charset w:val="00"/>
    <w:family w:val="auto"/>
    <w:pitch w:val="default"/>
    <w:sig w:usb0="00040000" w:usb1="00000000" w:usb2="0000000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NE.Ref{0D167E7D-BB16-4956-95E5-D99071BA2108}" w:val=" ADDIN NE.Ref.{0D167E7D-BB16-4956-95E5-D99071BA2108}&lt;Citation&gt;&lt;Group&gt;&lt;References&gt;&lt;Item&gt;&lt;ID&gt;14&lt;/ID&gt;&lt;UID&gt;{E273D800-6BEA-44D8-B2D1-EC7F8A496D5B}&lt;/UID&gt;&lt;Title&gt;Risk factors of myasthenic crisis after thymectomy in 178 generalized myasthenia  gravis patients in a five-year follow-up study&lt;/Title&gt;&lt;Template&gt;Journal Article&lt;/Template&gt;&lt;Star&gt;0&lt;/Star&gt;&lt;Tag&gt;0&lt;/Tag&gt;&lt;Author&gt;Yu, S; Lin, J; Fu, X; Li, J; Li, Y; Chen, B; Yang, M; Zhang, M; Bu, B&lt;/Author&gt;&lt;Year&gt;2014&lt;/Year&gt;&lt;Details&gt;&lt;_accession_num&gt;24433121&lt;/_accession_num&gt;&lt;_author_adr&gt;1Department of Neurology.&lt;/_author_adr&gt;&lt;_date_display&gt;2014 Nov&lt;/_date_display&gt;&lt;_date&gt;2014-11-01&lt;/_date&gt;&lt;_doi&gt;10.3109/00207454.2014.883391&lt;/_doi&gt;&lt;_isbn&gt;1563-5279 (Electronic); 0020-7454 (Linking)&lt;/_isbn&gt;&lt;_issue&gt;11&lt;/_issue&gt;&lt;_journal&gt;Int J Neurosci&lt;/_journal&gt;&lt;_keywords&gt;Adult; Age of Onset; China/epidemiology; Female; Follow-Up Studies; Humans; Male; Myasthenia Gravis/complications/*epidemiology/surgery; Postoperative Complications/*epidemiology; Retrospective Studies; Risk Factors; Thymectomy/*adverse effects; Thymoma/complications; Time Factors; Young Adultmyasthenia gravis; myasthenic crisis; thymectomy; thymoma&lt;/_keywords&gt;&lt;_language&gt;eng&lt;/_language&gt;&lt;_pages&gt;792-8&lt;/_pages&gt;&lt;_tertiary_title&gt;The International journal of neuroscience&lt;/_tertiary_title&gt;&lt;_type_work&gt;Journal Article; Research Support, Non-U.S. Gov&amp;apos;t&lt;/_type_work&gt;&lt;_url&gt;http://www.ncbi.nlm.nih.gov/entrez/query.fcgi?cmd=Retrieve&amp;amp;db=pubmed&amp;amp;dopt=Abstract&amp;amp;list_uids=24433121&amp;amp;query_hl=1&lt;/_url&gt;&lt;_volume&gt;124&lt;/_volume&gt;&lt;_created&gt;61232036&lt;/_created&gt;&lt;_modified&gt;61232050&lt;/_modified&gt;&lt;_db_updated&gt;PubMed&lt;/_db_updated&gt;&lt;_impact_factor&gt;   1.521&lt;/_impact_factor&gt;&lt;_collection_scope&gt;SCIE;&lt;/_collection_scope&gt;&lt;/Details&gt;&lt;Extra&gt;&lt;DBUID&gt;{FF70EBC7-AB11-4291-830D-81CEEE254649}&lt;/DBUID&gt;&lt;/Extra&gt;&lt;/Item&gt;&lt;/References&gt;&lt;/Group&gt;&lt;/Citation&gt;_x000a_"/>
    <w:docVar w:name="NE.Ref{0DB77169-A46F-467A-A7B1-8DEE165181A3}" w:val=" ADDIN NE.Ref.{0DB77169-A46F-467A-A7B1-8DEE165181A3}&lt;Citation&gt;&lt;Group&gt;&lt;References&gt;&lt;Item&gt;&lt;ID&gt;17&lt;/ID&gt;&lt;UID&gt;{D55861B6-FE1C-4BF9-ADAE-334B2F9D8C21}&lt;/UID&gt;&lt;Title&gt;Risk factors for developing postthymectomy myasthenic crisis in Thymoma Patients&lt;/Title&gt;&lt;Template&gt;Journal Article&lt;/Template&gt;&lt;Star&gt;0&lt;/Star&gt;&lt;Tag&gt;0&lt;/Tag&gt;&lt;Author&gt;Wu, Y; Chen, Y; Liu, H; Zou, S&lt;/Author&gt;&lt;Year&gt;2015&lt;/Year&gt;&lt;Details&gt;&lt;_accession_num&gt;26323908&lt;/_accession_num&gt;&lt;_author_adr&gt;Department of Intensive Care Unit, The People&amp;apos;s Hospital of Lishui, Lishui 323000, PR China.&lt;/_author_adr&gt;&lt;_date_display&gt;2015 Aug&lt;/_date_display&gt;&lt;_date&gt;2015-08-01&lt;/_date&gt;&lt;_doi&gt;10.4103/0973-1482.163863&lt;/_doi&gt;&lt;_isbn&gt;1998-4138 (Electronic); 1998-4138 (Linking)&lt;/_isbn&gt;&lt;_journal&gt;J Cancer Res Ther&lt;/_journal&gt;&lt;_language&gt;eng&lt;/_language&gt;&lt;_pages&gt;C115-7&lt;/_pages&gt;&lt;_tertiary_title&gt;Journal of cancer research and therapeutics&lt;/_tertiary_title&gt;&lt;_type_work&gt;Journal Article&lt;/_type_work&gt;&lt;_url&gt;http://www.ncbi.nlm.nih.gov/entrez/query.fcgi?cmd=Retrieve&amp;amp;db=pubmed&amp;amp;dopt=Abstract&amp;amp;list_uids=26323908&amp;amp;query_hl=1&lt;/_url&gt;&lt;_volume&gt;11 Suppl 1&lt;/_volume&gt;&lt;_created&gt;61232038&lt;/_created&gt;&lt;_modified&gt;61232054&lt;/_modified&gt;&lt;_db_updated&gt;PubMed&lt;/_db_updated&gt;&lt;_impact_factor&gt;   0.791&lt;/_impact_factor&gt;&lt;_collection_scope&gt;SCIE;&lt;/_collection_scope&gt;&lt;/Details&gt;&lt;Extra&gt;&lt;DBUID&gt;{FF70EBC7-AB11-4291-830D-81CEEE254649}&lt;/DBUID&gt;&lt;/Extra&gt;&lt;/Item&gt;&lt;/References&gt;&lt;/Group&gt;&lt;Group&gt;&lt;References&gt;&lt;Item&gt;&lt;ID&gt;18&lt;/ID&gt;&lt;UID&gt;{40B59285-C732-49FF-B900-23892F2CE63C}&lt;/UID&gt;&lt;Title&gt;Preoperative Anxiety in Patients With Myasthenia Gravis and Risk for Myasthenic Crisis After Extended Transsternal Thymectomy: A CONSORT Study&lt;/Title&gt;&lt;Template&gt;Journal Article&lt;/Template&gt;&lt;Star&gt;0&lt;/Star&gt;&lt;Tag&gt;0&lt;/Tag&gt;&lt;Author&gt;Zou, J; Su, C; Lun, X; Liu, W; Yang, W; Zhong, B; Zhu, H; Lei, Y; Luo, H; Chen, Z&lt;/Author&gt;&lt;Year&gt;2016&lt;/Year&gt;&lt;Details&gt;&lt;_accession_num&gt;26962777&lt;/_accession_num&gt;&lt;_author_adr&gt;From the Department of Thoracic Surgery, the First Affiliated Hospital (JZ, CS, HZ, YL, HL, ZC); Lung Cancer Research Center (JZ, CS, XL, WY, HZ, YL, HL, ZC); Department of Cardiothoracic Surgery of East Division, the First Affiliated Hospital (XL, WY, ZC); Department of Neurology, the First Affiliated Hospital (WL); and Department of Thoracic Surgery, the Fifth Affiliated Hospital, Sun Yat-sen University, Zhuhai, Guangdong 519000, China (BZ).&lt;/_author_adr&gt;&lt;_date_display&gt;2016 Mar&lt;/_date_display&gt;&lt;_date&gt;2016-03-01&lt;/_date&gt;&lt;_doi&gt;10.1097/MD.0000000000002828&lt;/_doi&gt;&lt;_isbn&gt;1536-5964 (Electronic); 0025-7974 (Linking)&lt;/_isbn&gt;&lt;_issue&gt;10&lt;/_issue&gt;&lt;_journal&gt;Medicine (Baltimore)&lt;/_journal&gt;&lt;_language&gt;eng&lt;/_language&gt;&lt;_pages&gt;e2828&lt;/_pages&gt;&lt;_tertiary_title&gt;Medicine&lt;/_tertiary_title&gt;&lt;_type_work&gt;Journal Article&lt;/_type_work&gt;&lt;_url&gt;http://www.ncbi.nlm.nih.gov/entrez/query.fcgi?cmd=Retrieve&amp;amp;db=pubmed&amp;amp;dopt=Abstract&amp;amp;list_uids=26962777&amp;amp;query_hl=1&lt;/_url&gt;&lt;_volume&gt;95&lt;/_volume&gt;&lt;_created&gt;61232038&lt;/_created&gt;&lt;_modified&gt;61232059&lt;/_modified&gt;&lt;_db_updated&gt;PubMed&lt;/_db_updated&gt;&lt;_impact_factor&gt;   5.723&lt;/_impact_factor&gt;&lt;/Details&gt;&lt;Extra&gt;&lt;DBUID&gt;{FF70EBC7-AB11-4291-830D-81CEEE254649}&lt;/DBUID&gt;&lt;/Extra&gt;&lt;/Item&gt;&lt;/References&gt;&lt;/Group&gt;&lt;/Citation&gt;_x000a_"/>
    <w:docVar w:name="NE.Ref{248DD059-201F-41D9-BB88-68EBA01AD861}" w:val=" ADDIN NE.Ref.{248DD059-201F-41D9-BB88-68EBA01AD861}&lt;Citation&gt;&lt;Group&gt;&lt;References&gt;&lt;Item&gt;&lt;ID&gt;13&lt;/ID&gt;&lt;UID&gt;{CECCF02D-9E0F-4E2A-B7CC-615577910761}&lt;/UID&gt;&lt;Title&gt;Prognostic factors for myasthenic crisis after transsternal thymectomy in patients with myasthenia gravis&lt;/Title&gt;&lt;Template&gt;Journal Article&lt;/Template&gt;&lt;Star&gt;0&lt;/Star&gt;&lt;Tag&gt;0&lt;/Tag&gt;&lt;Author&gt;Watanabe, A; Watanabe, T; Obama, T; Mawatari, T; Ohsawa, H; Ichimiya, Y; Takahashi, N; Kusajima, K; Abe, T&lt;/Author&gt;&lt;Year&gt;2004&lt;/Year&gt;&lt;Details&gt;&lt;_accession_num&gt;15001919&lt;/_accession_num&gt;&lt;_author_adr&gt;Department of Thoracic and Cardiovascular Surgery, Sapporo Medical University School of Medicine, South 1 West 16, Chuo-ku, Sapporo 060-8543, Japan. atsushiw@sapmed.ac.jp&lt;/_author_adr&gt;&lt;_date_display&gt;2004 Mar&lt;/_date_display&gt;&lt;_date&gt;2004-03-01&lt;/_date&gt;&lt;_doi&gt;10.1016/j.jtcvs.2003.07.036&lt;/_doi&gt;&lt;_isbn&gt;0022-5223 (Print); 0022-5223 (Linking)&lt;/_isbn&gt;&lt;_issue&gt;3&lt;/_issue&gt;&lt;_journal&gt;J Thorac Cardiovasc Surg&lt;/_journal&gt;&lt;_keywords&gt;Adolescent; Adult; Aged; Female; Humans; Logistic Models; Male; Middle Aged; Multivariate Analysis; Myasthenia Gravis/*surgery; Prognosis; Respiratory Insufficiency/*etiology/therapy; Retrospective Studies; Risk Factors; Thymectomy/*adverse effects&lt;/_keywords&gt;&lt;_language&gt;eng&lt;/_language&gt;&lt;_pages&gt;868-76&lt;/_pages&gt;&lt;_tertiary_title&gt;The Journal of thoracic and cardiovascular surgery&lt;/_tertiary_title&gt;&lt;_type_work&gt;Journal Article&lt;/_type_work&gt;&lt;_url&gt;http://www.ncbi.nlm.nih.gov/entrez/query.fcgi?cmd=Retrieve&amp;amp;db=pubmed&amp;amp;dopt=Abstract&amp;amp;list_uids=15001919&amp;amp;query_hl=1&lt;/_url&gt;&lt;_volume&gt;127&lt;/_volume&gt;&lt;_created&gt;61232035&lt;/_created&gt;&lt;_modified&gt;61232048&lt;/_modified&gt;&lt;_db_updated&gt;PubMed&lt;/_db_updated&gt;&lt;_impact_factor&gt;   4.168&lt;/_impact_factor&gt;&lt;/Details&gt;&lt;Extra&gt;&lt;DBUID&gt;{FF70EBC7-AB11-4291-830D-81CEEE254649}&lt;/DBUID&gt;&lt;/Extra&gt;&lt;/Item&gt;&lt;/References&gt;&lt;/Group&gt;&lt;/Citation&gt;_x000a_"/>
    <w:docVar w:name="NE.Ref{30A1F338-857A-41DE-B03E-7E4D5F027B59}" w:val=" ADDIN NE.Ref.{30A1F338-857A-41DE-B03E-7E4D5F027B59}&lt;Citation&gt;&lt;Group&gt;&lt;References&gt;&lt;Item&gt;&lt;ID&gt;15&lt;/ID&gt;&lt;UID&gt;{42650A3D-9A2D-4760-92FC-F27C128CBC1D}&lt;/UID&gt;&lt;Title&gt;Thymectomy in myasthenia gravis: proposal for a predictive score of postoperative myasthenic crisis&lt;/Title&gt;&lt;Template&gt;Journal Article&lt;/Template&gt;&lt;Star&gt;0&lt;/Star&gt;&lt;Tag&gt;0&lt;/Tag&gt;&lt;Author&gt;Leuzzi, G; Meacci, E; Cusumano, G; Cesario, A; Chiappetta, M; Dall&amp;apos;Armi, V; Evoli, A; Costa, R; Lococo, F; Primieri, P; Margaritora, S; Granone, P&lt;/Author&gt;&lt;Year&gt;2014&lt;/Year&gt;&lt;Details&gt;&lt;_accession_num&gt;24525106&lt;/_accession_num&gt;&lt;_author_adr&gt;Department of Surgical Oncology, Thoracic Surgery Unit, IRCCS Regina Elena National Cancer Institute, Rome, Italy.&lt;/_author_adr&gt;&lt;_date_display&gt;2014 Apr&lt;/_date_display&gt;&lt;_date&gt;2014-04-01&lt;/_date&gt;&lt;_doi&gt;10.1093/ejcts/ezt641&lt;/_doi&gt;&lt;_isbn&gt;1873-734X (Electronic); 1010-7940 (Linking)&lt;/_isbn&gt;&lt;_issue&gt;4&lt;/_issue&gt;&lt;_journal&gt;Eur J Cardiothorac Surg&lt;/_journal&gt;&lt;_keywords&gt;Female; Humans; Male; Middle Aged; Models, Statistical; Myasthenia Gravis/epidemiology/physiopathology/*surgery; Postoperative Complications/classification/epidemiology/etiology; Respiratory Insufficiency/epidemiology; Retrospective Studies; Thymectomy/adverse effects/*methods/statistics &amp;amp; numerical dataIntubation; Myasthenia gravis; Myasthenic crisis; Scoring system&lt;/_keywords&gt;&lt;_language&gt;eng&lt;/_language&gt;&lt;_pages&gt;e76-88; discussion e88&lt;/_pages&gt;&lt;_tertiary_title&gt;European journal of cardio-thoracic surgery : official journal of the European_x000d__x000a_      Association for Cardio-thoracic Surgery&lt;/_tertiary_title&gt;&lt;_type_work&gt;Journal Article&lt;/_type_work&gt;&lt;_url&gt;http://www.ncbi.nlm.nih.gov/entrez/query.fcgi?cmd=Retrieve&amp;amp;db=pubmed&amp;amp;dopt=Abstract&amp;amp;list_uids=24525106&amp;amp;query_hl=1&lt;/_url&gt;&lt;_volume&gt;45&lt;/_volume&gt;&lt;_created&gt;61232037&lt;/_created&gt;&lt;_modified&gt;61232050&lt;/_modified&gt;&lt;_db_updated&gt;PubMed&lt;/_db_updated&gt;&lt;_impact_factor&gt;   3.304&lt;/_impact_factor&gt;&lt;/Details&gt;&lt;Extra&gt;&lt;DBUID&gt;{FF70EBC7-AB11-4291-830D-81CEEE254649}&lt;/DBUID&gt;&lt;/Extra&gt;&lt;/Item&gt;&lt;/References&gt;&lt;/Group&gt;&lt;/Citation&gt;_x000a_"/>
    <w:docVar w:name="NE.Ref{3B042E14-1E95-4419-8BA5-5595C41070E1}" w:val=" ADDIN NE.Ref.{3B042E14-1E95-4419-8BA5-5595C41070E1}&lt;Citation&gt;&lt;Group&gt;&lt;References&gt;&lt;Item&gt;&lt;ID&gt;1&lt;/ID&gt;&lt;UID&gt;{F991F63E-1901-45B2-BC6A-0C80B0FF57FA}&lt;/UID&gt;&lt;Title&gt;Myasthenia gravis&lt;/Title&gt;&lt;Template&gt;Journal Article&lt;/Template&gt;&lt;Star&gt;1&lt;/Star&gt;&lt;Tag&gt;0&lt;/Tag&gt;&lt;Author&gt;Vincent, A; Palace, J; Hilton-Jones, D&lt;/Author&gt;&lt;Year&gt;2001&lt;/Year&gt;&lt;Details&gt;&lt;_accession_num&gt;11445126&lt;/_accession_num&gt;&lt;_author_adr&gt;Neurosciences Group, Institute of Molecular Medicine, OX3 9DS, Oxford, UK. angela.vincent@imm.ox.ac.uk&lt;/_author_adr&gt;&lt;_collection_scope&gt;SCI;SCIE;&lt;/_collection_scope&gt;&lt;_created&gt;61156680&lt;/_created&gt;&lt;_date&gt;2001-06-30&lt;/_date&gt;&lt;_date_display&gt;2001 Jun 30&lt;/_date_display&gt;&lt;_db_updated&gt;PubMed&lt;/_db_updated&gt;&lt;_doi&gt;10.1016/S0140-6736(00)05186-2&lt;/_doi&gt;&lt;_impact_factor&gt;  45.217&lt;/_impact_factor&gt;&lt;_isbn&gt;0140-6736 (Print); 0140-6736 (Linking)&lt;/_isbn&gt;&lt;_issue&gt;9274&lt;/_issue&gt;&lt;_journal&gt;Lancet&lt;/_journal&gt;&lt;_keywords&gt;Humans; *Myasthenia Gravis/diagnosis/epidemiology/physiopathology/therapy&lt;/_keywords&gt;&lt;_language&gt;eng&lt;/_language&gt;&lt;_modified&gt;61156762&lt;/_modified&gt;&lt;_pages&gt;2122-8&lt;/_pages&gt;&lt;_tertiary_title&gt;Lancet (London, England)&lt;/_tertiary_title&gt;&lt;_type_work&gt;Journal Article; Review&lt;/_type_work&gt;&lt;_url&gt;http://www.ncbi.nlm.nih.gov/entrez/query.fcgi?cmd=Retrieve&amp;amp;db=pubmed&amp;amp;dopt=Abstract&amp;amp;list_uids=11445126&amp;amp;query_hl=1&lt;/_url&gt;&lt;_volume&gt;357&lt;/_volume&gt;&lt;/Details&gt;&lt;Extra&gt;&lt;DBUID&gt;{FF70EBC7-AB11-4291-830D-81CEEE254649}&lt;/DBUID&gt;&lt;/Extra&gt;&lt;/Item&gt;&lt;/References&gt;&lt;/Group&gt;&lt;/Citation&gt;_x000a_"/>
    <w:docVar w:name="NE.Ref{3F3D6D0D-B356-4229-A88D-3626A054A553}" w:val=" ADDIN NE.Ref.{3F3D6D0D-B356-4229-A88D-3626A054A553}&lt;Citation&gt;&lt;Group&gt;&lt;References&gt;&lt;Item&gt;&lt;ID&gt;9&lt;/ID&gt;&lt;UID&gt;{9A2EFED0-B35D-4C8B-BE27-BBE45E32B522}&lt;/UID&gt;&lt;Title&gt;胸腺切除术后发生肌无力危象危险因素的Meta分析&lt;/Title&gt;&lt;Template&gt;Journal Article&lt;/Template&gt;&lt;Star&gt;0&lt;/Star&gt;&lt;Tag&gt;0&lt;/Tag&gt;&lt;Author&gt;刘宇; 束余声&lt;/Author&gt;&lt;Year&gt;2015&lt;/Year&gt;&lt;Details&gt;&lt;_author_adr&gt;扬州大学临床医学院; 江苏省苏北人民医院胸心外科&lt;/_author_adr&gt;&lt;_author_aff&gt;扬州大学临床医学院; 江苏省苏北人民医院胸心外科&lt;/_author_aff&gt;&lt;_db_provider&gt;北京万方数据股份有限公司&lt;/_db_provider&gt;&lt;_doi&gt;10.3760/cma.j.issn.1001-4497.2015.011.006&lt;/_doi&gt;&lt;_isbn&gt;1001-4497&lt;/_isbn&gt;&lt;_issue&gt;11&lt;/_issue&gt;&lt;_journal&gt;中华胸心血管外科杂志&lt;/_journal&gt;&lt;_keywords&gt;重症肌无力; 胸腺切除术; 肌无力危象; Meta分析; Myasthenia gravis; Thymectomy; Myasthenic crisis; Meta-analysis&lt;/_keywords&gt;&lt;_language&gt;chi&lt;/_language&gt;&lt;_pages&gt;660-664&lt;/_pages&gt;&lt;_tertiary_title&gt;Chinese Journal of Thoracic and Cardiovascular Surgery&lt;/_tertiary_title&gt;&lt;_translated_author&gt;Yu, Liu; Yusheng, Shu&lt;/_translated_author&gt;&lt;_translated_title&gt;Risk factors of myasthenic crisis after thymectomy: a meta analysis&lt;/_translated_title&gt;&lt;_url&gt;http://d.g.wanfangdata.com.cn/Periodical_zhxxxgwk201511006.aspx&lt;/_url&gt;&lt;_volume&gt;31&lt;/_volume&gt;&lt;_created&gt;61171282&lt;/_created&gt;&lt;_modified&gt;61171282&lt;/_modified&gt;&lt;_db_updated&gt;Wanfangdata&lt;/_db_updated&gt;&lt;_collection_scope&gt;中国科技核心期刊;中文核心期刊;CSCD;&lt;/_collection_scope&gt;&lt;/Details&gt;&lt;Extra&gt;&lt;DBUID&gt;{FF70EBC7-AB11-4291-830D-81CEEE254649}&lt;/DBUID&gt;&lt;/Extra&gt;&lt;/Item&gt;&lt;/References&gt;&lt;/Group&gt;&lt;Group&gt;&lt;References&gt;&lt;Item&gt;&lt;ID&gt;17&lt;/ID&gt;&lt;UID&gt;{D55861B6-FE1C-4BF9-ADAE-334B2F9D8C21}&lt;/UID&gt;&lt;Title&gt;Risk factors for developing postthymectomy myasthenic crisis in Thymoma Patients&lt;/Title&gt;&lt;Template&gt;Journal Article&lt;/Template&gt;&lt;Star&gt;0&lt;/Star&gt;&lt;Tag&gt;0&lt;/Tag&gt;&lt;Author&gt;Wu, Y; Chen, Y; Liu, H; Zou, S&lt;/Author&gt;&lt;Year&gt;2015&lt;/Year&gt;&lt;Details&gt;&lt;_accession_num&gt;26323908&lt;/_accession_num&gt;&lt;_author_adr&gt;Department of Intensive Care Unit, The People&amp;apos;s Hospital of Lishui, Lishui 323000, PR China.&lt;/_author_adr&gt;&lt;_date_display&gt;2015 Aug&lt;/_date_display&gt;&lt;_date&gt;2015-08-01&lt;/_date&gt;&lt;_doi&gt;10.4103/0973-1482.163863&lt;/_doi&gt;&lt;_isbn&gt;1998-4138 (Electronic); 1998-4138 (Linking)&lt;/_isbn&gt;&lt;_journal&gt;J Cancer Res Ther&lt;/_journal&gt;&lt;_language&gt;eng&lt;/_language&gt;&lt;_pages&gt;C115-7&lt;/_pages&gt;&lt;_tertiary_title&gt;Journal of cancer research and therapeutics&lt;/_tertiary_title&gt;&lt;_type_work&gt;Journal Article&lt;/_type_work&gt;&lt;_url&gt;http://www.ncbi.nlm.nih.gov/entrez/query.fcgi?cmd=Retrieve&amp;amp;db=pubmed&amp;amp;dopt=Abstract&amp;amp;list_uids=26323908&amp;amp;query_hl=1&lt;/_url&gt;&lt;_volume&gt;11 Suppl 1&lt;/_volume&gt;&lt;_created&gt;61232038&lt;/_created&gt;&lt;_modified&gt;61232054&lt;/_modified&gt;&lt;_db_updated&gt;PubMed&lt;/_db_updated&gt;&lt;_impact_factor&gt;   0.791&lt;/_impact_factor&gt;&lt;_collection_scope&gt;SCIE;&lt;/_collection_scope&gt;&lt;/Details&gt;&lt;Extra&gt;&lt;DBUID&gt;{FF70EBC7-AB11-4291-830D-81CEEE254649}&lt;/DBUID&gt;&lt;/Extra&gt;&lt;/Item&gt;&lt;/References&gt;&lt;/Group&gt;&lt;Group&gt;&lt;References&gt;&lt;Item&gt;&lt;ID&gt;16&lt;/ID&gt;&lt;UID&gt;{7831DE6C-8108-4278-93F3-963DE4DC4D94}&lt;/UID&gt;&lt;Title&gt;Predictive factors of myasthenic crisis after extended thymectomy for patients with myasthenia gravis&lt;/Title&gt;&lt;Template&gt;Journal Article&lt;/Template&gt;&lt;Star&gt;0&lt;/Star&gt;&lt;Tag&gt;0&lt;/Tag&gt;&lt;Author&gt;Ando, T; Omasa, M; Kondo, T; Yamada, T; Sato, M; Menju, T; Aoyama, A; Sato, T; Chen, F; Sonobe, M; Date, H&lt;/Author&gt;&lt;Year&gt;2015&lt;/Year&gt;&lt;Details&gt;&lt;_accession_num&gt;25618314&lt;/_accession_num&gt;&lt;_author_adr&gt;Department of Thoracic Surgery, Kyoto University Hospital, Kyoto, Japan.; Department of Thoracic Surgery, Kyoto University Hospital, Kyoto, Japan omasa@kuhp.kyoto-u.ac.jp.; Department of Community Network and Collaborative Medicine, Kyoto University Hospital, Kyoto, Japan.; Department of Thoracic Surgery, Kyoto University Hospital, Kyoto, Japan.; Department of Thoracic Surgery, Kyoto University Hospital, Kyoto, Japan.; Department of Thoracic Surgery, Kyoto University Hospital, Kyoto, Japan.; Department of Thoracic Surgery, Kyoto University Hospital, Kyoto, Japan.; Department of Thoracic Surgery, Kyoto University Hospital, Kyoto, Japan.; Department of Thoracic Surgery, Kyoto University Hospital, Kyoto, Japan.; Department of Thoracic Surgery, Kyoto University Hospital, Kyoto, Japan.; Department of Thoracic Surgery, Kyoto University Hospital, Kyoto, Japan.&lt;/_author_adr&gt;&lt;_date_display&gt;2015 Nov&lt;/_date_display&gt;&lt;_date&gt;2015-11-01&lt;/_date&gt;&lt;_doi&gt;10.1093/ejcts/ezu530&lt;/_doi&gt;&lt;_isbn&gt;1873-734X (Electronic); 1010-7940 (Linking)&lt;/_isbn&gt;&lt;_issue&gt;5&lt;/_issue&gt;&lt;_journal&gt;Eur J Cardiothorac Surg&lt;/_journal&gt;&lt;_keywords&gt;Anti-acetylcholine receptor antibody; Extended thymectomy; Myasthenia gravis; Postoperative myasthenic crisis; Predictive factor&lt;/_keywords&gt;&lt;_language&gt;eng&lt;/_language&gt;&lt;_ori_publication&gt;(c) The Author 2015. Published by Oxford University Press on behalf of the_x000d__x000a_      European Association for Cardio-Thoracic Surgery. All rights reserved.&lt;/_ori_publication&gt;&lt;_pages&gt;705-9; discussion 709&lt;/_pages&gt;&lt;_tertiary_title&gt;European journal of cardio-thoracic surgery : official journal of the European_x000d__x000a_      Association for Cardio-thoracic Surgery&lt;/_tertiary_title&gt;&lt;_type_work&gt;Journal Article&lt;/_type_work&gt;&lt;_url&gt;http://www.ncbi.nlm.nih.gov/entrez/query.fcgi?cmd=Retrieve&amp;amp;db=pubmed&amp;amp;dopt=Abstract&amp;amp;list_uids=25618314&amp;amp;query_hl=1&lt;/_url&gt;&lt;_volume&gt;48&lt;/_volume&gt;&lt;_created&gt;61232037&lt;/_created&gt;&lt;_modified&gt;61232057&lt;/_modified&gt;&lt;_db_updated&gt;PubMed&lt;/_db_updated&gt;&lt;_impact_factor&gt;   3.304&lt;/_impact_factor&gt;&lt;/Details&gt;&lt;Extra&gt;&lt;DBUID&gt;{FF70EBC7-AB11-4291-830D-81CEEE254649}&lt;/DBUID&gt;&lt;/Extra&gt;&lt;/Item&gt;&lt;/References&gt;&lt;/Group&gt;&lt;/Citation&gt;_x000a_"/>
    <w:docVar w:name="NE.Ref{412250B5-CBD5-436A-B774-365EEB3A087C}" w:val=" ADDIN NE.Ref.{412250B5-CBD5-436A-B774-365EEB3A087C}&lt;Citation&gt;&lt;Group&gt;&lt;References&gt;&lt;Item&gt;&lt;ID&gt;1&lt;/ID&gt;&lt;UID&gt;{F991F63E-1901-45B2-BC6A-0C80B0FF57FA}&lt;/UID&gt;&lt;Title&gt;Myasthenia gravis&lt;/Title&gt;&lt;Template&gt;Journal Article&lt;/Template&gt;&lt;Star&gt;1&lt;/Star&gt;&lt;Tag&gt;0&lt;/Tag&gt;&lt;Author&gt;Vincent, A; Palace, J; Hilton-Jones, D&lt;/Author&gt;&lt;Year&gt;2001&lt;/Year&gt;&lt;Details&gt;&lt;_accession_num&gt;11445126&lt;/_accession_num&gt;&lt;_author_adr&gt;Neurosciences Group, Institute of Molecular Medicine, OX3 9DS, Oxford, UK. angela.vincent@imm.ox.ac.uk&lt;/_author_adr&gt;&lt;_collection_scope&gt;SCI;SCIE;&lt;/_collection_scope&gt;&lt;_created&gt;61156680&lt;/_created&gt;&lt;_date&gt;2001-06-30&lt;/_date&gt;&lt;_date_display&gt;2001 Jun 30&lt;/_date_display&gt;&lt;_db_updated&gt;PubMed&lt;/_db_updated&gt;&lt;_doi&gt;10.1016/S0140-6736(00)05186-2&lt;/_doi&gt;&lt;_impact_factor&gt;  45.217&lt;/_impact_factor&gt;&lt;_isbn&gt;0140-6736 (Print); 0140-6736 (Linking)&lt;/_isbn&gt;&lt;_issue&gt;9274&lt;/_issue&gt;&lt;_journal&gt;Lancet&lt;/_journal&gt;&lt;_keywords&gt;Humans; *Myasthenia Gravis/diagnosis/epidemiology/physiopathology/therapy&lt;/_keywords&gt;&lt;_language&gt;eng&lt;/_language&gt;&lt;_modified&gt;61156762&lt;/_modified&gt;&lt;_pages&gt;2122-8&lt;/_pages&gt;&lt;_tertiary_title&gt;Lancet (London, England)&lt;/_tertiary_title&gt;&lt;_type_work&gt;Journal Article; Review&lt;/_type_work&gt;&lt;_url&gt;http://www.ncbi.nlm.nih.gov/entrez/query.fcgi?cmd=Retrieve&amp;amp;db=pubmed&amp;amp;dopt=Abstract&amp;amp;list_uids=11445126&amp;amp;query_hl=1&lt;/_url&gt;&lt;_volume&gt;357&lt;/_volume&gt;&lt;/Details&gt;&lt;Extra&gt;&lt;DBUID&gt;{FF70EBC7-AB11-4291-830D-81CEEE254649}&lt;/DBUID&gt;&lt;/Extra&gt;&lt;/Item&gt;&lt;/References&gt;&lt;/Group&gt;&lt;/Citation&gt;_x000a_"/>
    <w:docVar w:name="NE.Ref{59EE724D-91D3-481F-AA40-8CB66A03CCB2}" w:val=" ADDIN NE.Ref.{59EE724D-91D3-481F-AA40-8CB66A03CCB2}&lt;Citation&gt;&lt;Group&gt;&lt;References&gt;&lt;Item&gt;&lt;ID&gt;18&lt;/ID&gt;&lt;UID&gt;{40B59285-C732-49FF-B900-23892F2CE63C}&lt;/UID&gt;&lt;Title&gt;Preoperative Anxiety in Patients With Myasthenia Gravis and Risk for Myasthenic Crisis After Extended Transsternal Thymectomy: A CONSORT Study&lt;/Title&gt;&lt;Template&gt;Journal Article&lt;/Template&gt;&lt;Star&gt;0&lt;/Star&gt;&lt;Tag&gt;0&lt;/Tag&gt;&lt;Author&gt;Zou, J; Su, C; Lun, X; Liu, W; Yang, W; Zhong, B; Zhu, H; Lei, Y; Luo, H; Chen, Z&lt;/Author&gt;&lt;Year&gt;2016&lt;/Year&gt;&lt;Details&gt;&lt;_accession_num&gt;26962777&lt;/_accession_num&gt;&lt;_author_adr&gt;From the Department of Thoracic Surgery, the First Affiliated Hospital (JZ, CS, HZ, YL, HL, ZC); Lung Cancer Research Center (JZ, CS, XL, WY, HZ, YL, HL, ZC); Department of Cardiothoracic Surgery of East Division, the First Affiliated Hospital (XL, WY, ZC); Department of Neurology, the First Affiliated Hospital (WL); and Department of Thoracic Surgery, the Fifth Affiliated Hospital, Sun Yat-sen University, Zhuhai, Guangdong 519000, China (BZ).&lt;/_author_adr&gt;&lt;_date_display&gt;2016 Mar&lt;/_date_display&gt;&lt;_date&gt;2016-03-01&lt;/_date&gt;&lt;_doi&gt;10.1097/MD.0000000000002828&lt;/_doi&gt;&lt;_isbn&gt;1536-5964 (Electronic); 0025-7974 (Linking)&lt;/_isbn&gt;&lt;_issue&gt;10&lt;/_issue&gt;&lt;_journal&gt;Medicine (Baltimore)&lt;/_journal&gt;&lt;_language&gt;eng&lt;/_language&gt;&lt;_pages&gt;e2828&lt;/_pages&gt;&lt;_tertiary_title&gt;Medicine&lt;/_tertiary_title&gt;&lt;_type_work&gt;Journal Article&lt;/_type_work&gt;&lt;_url&gt;http://www.ncbi.nlm.nih.gov/entrez/query.fcgi?cmd=Retrieve&amp;amp;db=pubmed&amp;amp;dopt=Abstract&amp;amp;list_uids=26962777&amp;amp;query_hl=1&lt;/_url&gt;&lt;_volume&gt;95&lt;/_volume&gt;&lt;_created&gt;61232038&lt;/_created&gt;&lt;_modified&gt;61232059&lt;/_modified&gt;&lt;_db_updated&gt;PubMed&lt;/_db_updated&gt;&lt;_impact_factor&gt;   5.723&lt;/_impact_factor&gt;&lt;/Details&gt;&lt;Extra&gt;&lt;DBUID&gt;{FF70EBC7-AB11-4291-830D-81CEEE254649}&lt;/DBUID&gt;&lt;/Extra&gt;&lt;/Item&gt;&lt;/References&gt;&lt;/Group&gt;&lt;/Citation&gt;_x000a_"/>
    <w:docVar w:name="NE.Ref{66B3C310-DE2B-4E0A-972E-0C985C8775DB}" w:val=" ADDIN NE.Ref.{66B3C310-DE2B-4E0A-972E-0C985C8775DB}&lt;Citation&gt;&lt;Group&gt;&lt;References&gt;&lt;Item&gt;&lt;ID&gt;3&lt;/ID&gt;&lt;UID&gt;{F5A85526-5665-4A93-AB8D-A8B05095EA20}&lt;/UID&gt;&lt;Title&gt;Myasthenic crisis&lt;/Title&gt;&lt;Template&gt;Journal Article&lt;/Template&gt;&lt;Star&gt;0&lt;/Star&gt;&lt;Tag&gt;0&lt;/Tag&gt;&lt;Author&gt;Chaudhuri, A; Behan, P O&lt;/Author&gt;&lt;Year&gt;2009&lt;/Year&gt;&lt;Details&gt;&lt;_accession_num&gt;19060020&lt;/_accession_num&gt;&lt;_author_adr&gt;Essex Centre for Neurological Sciences, University of Glasgow, Scotland, UK. chaudhuria@gmail.com&lt;/_author_adr&gt;&lt;_date_display&gt;2009 Feb&lt;/_date_display&gt;&lt;_date&gt;2009-02-01&lt;/_date&gt;&lt;_doi&gt;10.1093/qjmed/hcn152&lt;/_doi&gt;&lt;_isbn&gt;1460-2393 (Electronic); 1460-2393 (Linking)&lt;/_isbn&gt;&lt;_issue&gt;2&lt;/_issue&gt;&lt;_journal&gt;QJM&lt;/_journal&gt;&lt;_keywords&gt;Adrenal Cortex Hormones/*therapeutic use; Combined Modality Therapy; Diagnosis, Differential; Emergencies; Humans; Myasthenia Gravis/*complications/diagnosis/therapy; *Plasma Exchange; Respiratory Insufficiency/diagnosis/etiology; Secondary Prevention; Thymus Neoplasms/surgery; Treatment Outcome&lt;/_keywords&gt;&lt;_language&gt;eng&lt;/_language&gt;&lt;_pages&gt;97-107&lt;/_pages&gt;&lt;_tertiary_title&gt;QJM : monthly journal of the Association of Physicians&lt;/_tertiary_title&gt;&lt;_type_work&gt;Journal Article; Review&lt;/_type_work&gt;&lt;_url&gt;http://www.ncbi.nlm.nih.gov/entrez/query.fcgi?cmd=Retrieve&amp;amp;db=pubmed&amp;amp;dopt=Abstract&amp;amp;list_uids=19060020&amp;amp;query_hl=1&lt;/_url&gt;&lt;_volume&gt;102&lt;/_volume&gt;&lt;_created&gt;61156833&lt;/_created&gt;&lt;_modified&gt;61156834&lt;/_modified&gt;&lt;_db_updated&gt;PubMed&lt;/_db_updated&gt;&lt;/Details&gt;&lt;Extra&gt;&lt;DBUID&gt;{FF70EBC7-AB11-4291-830D-81CEEE254649}&lt;/DBUID&gt;&lt;/Extra&gt;&lt;/Item&gt;&lt;/References&gt;&lt;/Group&gt;&lt;/Citation&gt;_x000a_"/>
    <w:docVar w:name="NE.Ref{674B67B7-B742-4307-A766-E29F77623FFD}" w:val=" ADDIN NE.Ref.{674B67B7-B742-4307-A766-E29F77623FFD}&lt;Citation&gt;&lt;Group&gt;&lt;References&gt;&lt;Item&gt;&lt;ID&gt;5&lt;/ID&gt;&lt;UID&gt;{6E10A127-0C4A-4FAD-BA97-BED7AFBABF82}&lt;/UID&gt;&lt;Title&gt;Clinical characteristics and predictive factors of myasthenic crisis after thymectomy&lt;/Title&gt;&lt;Template&gt;Journal Article&lt;/Template&gt;&lt;Star&gt;0&lt;/Star&gt;&lt;Tag&gt;0&lt;/Tag&gt;&lt;Author&gt;Nam, T S; Lee, S H; Kim, B C; Choi, K H; Kim, J T; Kim, M K; Cho, K H; Lee, M C&lt;/Author&gt;&lt;Year&gt;2011&lt;/Year&gt;&lt;Details&gt;&lt;_accession_num&gt;21778058&lt;/_accession_num&gt;&lt;_author_adr&gt;Department of Neurology, Chonnam National University Hwasun Hospital, 160 Ilsimri, Hwasun-eup, Hwasun-gun, Jeonnam, 519-809, Republic of Korea. nts0022@hanmail.net&lt;/_author_adr&gt;&lt;_date_display&gt;2011 Sep&lt;/_date_display&gt;&lt;_date&gt;2011-09-01&lt;/_date&gt;&lt;_doi&gt;10.1016/j.jocn.2011.01.011&lt;/_doi&gt;&lt;_isbn&gt;1532-2653 (Electronic); 0967-5868 (Linking)&lt;/_isbn&gt;&lt;_issue&gt;9&lt;/_issue&gt;&lt;_journal&gt;J Clin Neurosci&lt;/_journal&gt;&lt;_keywords&gt;Adolescent; Adult; Aged; Female; Follow-Up Studies; Humans; Logistic Models; Male; Middle Aged; Myasthenia Gravis/*surgery; Postoperative Complications/*physiopathology; Predictive Value of Tests; Retrospective Studies; Severity of Illness Index; Thymectomy/*adverse effects; Time Factors; Treatment Outcome; Young Adult&lt;/_keywords&gt;&lt;_language&gt;eng&lt;/_language&gt;&lt;_ori_publication&gt;Copyright (c) 2011 Elsevier Ltd. All rights reserved.&lt;/_ori_publication&gt;&lt;_pages&gt;1185-8&lt;/_pages&gt;&lt;_tertiary_title&gt;Journal of clinical neuroscience : official journal of the Neurosurgical Society _x000d__x000a_      of Australasia&lt;/_tertiary_title&gt;&lt;_type_work&gt;Journal Article&lt;/_type_work&gt;&lt;_url&gt;http://www.ncbi.nlm.nih.gov/entrez/query.fcgi?cmd=Retrieve&amp;amp;db=pubmed&amp;amp;dopt=Abstract&amp;amp;list_uids=21778058&amp;amp;query_hl=1&lt;/_url&gt;&lt;_volume&gt;18&lt;/_volume&gt;&lt;_created&gt;61156837&lt;/_created&gt;&lt;_modified&gt;61156837&lt;/_modified&gt;&lt;_db_updated&gt;PubMed&lt;/_db_updated&gt;&lt;_impact_factor&gt;   1.378&lt;/_impact_factor&gt;&lt;_collection_scope&gt;SCIE;&lt;/_collection_scope&gt;&lt;/Details&gt;&lt;Extra&gt;&lt;DBUID&gt;{FF70EBC7-AB11-4291-830D-81CEEE254649}&lt;/DBUID&gt;&lt;/Extra&gt;&lt;/Item&gt;&lt;/References&gt;&lt;/Group&gt;&lt;Group&gt;&lt;References&gt;&lt;Item&gt;&lt;ID&gt;11&lt;/ID&gt;&lt;UID&gt;{B18262A3-77D1-4303-A852-04108519E359}&lt;/UID&gt;&lt;Title&gt;重症肌无力危象74例临床分析&lt;/Title&gt;&lt;Template&gt;Journal Article&lt;/Template&gt;&lt;Star&gt;0&lt;/Star&gt;&lt;Tag&gt;0&lt;/Tag&gt;&lt;Author&gt;张忱; 李蜀渝; 肖波; 胡崇宇; 刘人恺; 易芳&lt;/Author&gt;&lt;Year&gt;2010&lt;/Year&gt;&lt;Details&gt;&lt;_author_adr&gt;中南大学湘雅医院,长沙,410008&lt;/_author_adr&gt;&lt;_author_aff&gt;中南大学湘雅医院,长沙,410008&lt;/_author_aff&gt;&lt;_collection_scope&gt;中国科技核心期刊;&lt;/_collection_scope&gt;&lt;_created&gt;61231221&lt;/_created&gt;&lt;_db_provider&gt;北京万方数据股份有限公司&lt;/_db_provider&gt;&lt;_db_updated&gt;Wanfangdata&lt;/_db_updated&gt;&lt;_doi&gt;10.3969/j.issn.1007-1024.2010.02.015&lt;/_doi&gt;&lt;_isbn&gt;1007-1024&lt;/_isbn&gt;&lt;_issue&gt;2&lt;/_issue&gt;&lt;_journal&gt;内科急危重症杂志&lt;/_journal&gt;&lt;_keywords&gt;重症肌无力; 机械通气; 血浆置换; 免疫球蛋白&lt;/_keywords&gt;&lt;_language&gt;chi&lt;/_language&gt;&lt;_modified&gt;61231222&lt;/_modified&gt;&lt;_pages&gt;94-95,99&lt;/_pages&gt;&lt;_tertiary_title&gt;JOURNAL OF INTERNAL INTENSIVE MEDICINE&lt;/_tertiary_title&gt;&lt;_translated_title&gt;Clinical Analysis of 74 Cases With Myasthenic Crisis&lt;/_translated_title&gt;&lt;_url&gt;http://d.g.wanfangdata.com.cn/Periodical_nkjwzzzz201002015.aspx&lt;/_url&gt;&lt;_volume&gt;16&lt;/_volume&gt;&lt;_translated_author&gt;Zhang, Chen;Li, Shuyu;Xiao, Bo;Hu, Chongyu;Liu, Renkai;Yi, Fang&lt;/_translated_author&gt;&lt;/Details&gt;&lt;Extra&gt;&lt;DBUID&gt;{FF70EBC7-AB11-4291-830D-81CEEE254649}&lt;/DBUID&gt;&lt;/Extra&gt;&lt;/Item&gt;&lt;/References&gt;&lt;/Group&gt;&lt;/Citation&gt;_x000a_"/>
    <w:docVar w:name="NE.Ref{72BDC464-5320-47E7-8D2A-98156CD9BE29}" w:val=" ADDIN NE.Ref.{72BDC464-5320-47E7-8D2A-98156CD9BE29}&lt;Citation&gt;&lt;Group&gt;&lt;References&gt;&lt;Item&gt;&lt;ID&gt;6&lt;/ID&gt;&lt;UID&gt;{C395AC69-2D90-438F-8DFD-FB9AD659DF6D}&lt;/UID&gt;&lt;Title&gt;Emergency Department Management of a Myasthenia Gravis Patient with Community-Acquired Pneumonia: Does Initial Antibiotic Choice Lead to Cure or Crisis?&lt;/Title&gt;&lt;Template&gt;Journal Article&lt;/Template&gt;&lt;Star&gt;0&lt;/Star&gt;&lt;Tag&gt;0&lt;/Tag&gt;&lt;Author&gt;Van Berkel, M A; Twilla, J D; England, B S&lt;/Author&gt;&lt;Year&gt;2016&lt;/Year&gt;&lt;Details&gt;&lt;_accession_num&gt;26472607&lt;/_accession_num&gt;&lt;_author_adr&gt;Department of Pharmacy, Methodist Healthcare-University Hospital, University of Tennessee Health Sciences Center, Memphis, Tennessee.; Department of Pharmacy, Methodist Healthcare-University Hospital, University of Tennessee Health Sciences Center, Memphis, Tennessee.; Department of Emergency Medicine, Methodist Healthcare-University Hospital, University of Tennessee Health Sciences Center, Memphis, Tennessee.&lt;/_author_adr&gt;&lt;_date_display&gt;2016 Feb&lt;/_date_display&gt;&lt;_date&gt;2016-02-01&lt;/_date&gt;&lt;_doi&gt;10.1016/j.jemermed.2015.04.019&lt;/_doi&gt;&lt;_isbn&gt;0736-4679 (Print); 0736-4679 (Linking)&lt;/_isbn&gt;&lt;_issue&gt;2&lt;/_issue&gt;&lt;_journal&gt;J Emerg Med&lt;/_journal&gt;&lt;_keywords&gt;community-acquired pneumonia; infection; myasthenia gravis; myasthenic crisis; tigecycline&lt;/_keywords&gt;&lt;_language&gt;eng&lt;/_language&gt;&lt;_ori_publication&gt;Copyright (c) 2016 Elsevier Inc. All rights reserved.&lt;/_ori_publication&gt;&lt;_pages&gt;281-5&lt;/_pages&gt;&lt;_tertiary_title&gt;The Journal of emergency medicine&lt;/_tertiary_title&gt;&lt;_type_work&gt;Journal Article&lt;/_type_work&gt;&lt;_url&gt;http://www.ncbi.nlm.nih.gov/entrez/query.fcgi?cmd=Retrieve&amp;amp;db=pubmed&amp;amp;dopt=Abstract&amp;amp;list_uids=26472607&amp;amp;query_hl=1&lt;/_url&gt;&lt;_volume&gt;50&lt;/_volume&gt;&lt;_created&gt;61171251&lt;/_created&gt;&lt;_modified&gt;61171251&lt;/_modified&gt;&lt;_db_updated&gt;PubMed&lt;/_db_updated&gt;&lt;_impact_factor&gt;   0.969&lt;/_impact_factor&gt;&lt;_collection_scope&gt;SCIE;&lt;/_collection_scope&gt;&lt;/Details&gt;&lt;Extra&gt;&lt;DBUID&gt;{FF70EBC7-AB11-4291-830D-81CEEE254649}&lt;/DBUID&gt;&lt;/Extra&gt;&lt;/Item&gt;&lt;/References&gt;&lt;/Group&gt;&lt;/Citation&gt;_x000a_"/>
    <w:docVar w:name="NE.Ref{75AA7A0B-3C4D-4B14-933E-A762E44070CC}" w:val=" ADDIN NE.Ref.{75AA7A0B-3C4D-4B14-933E-A762E44070CC}&lt;Citation&gt;&lt;Group&gt;&lt;References&gt;&lt;Item&gt;&lt;ID&gt;8&lt;/ID&gt;&lt;UID&gt;{45F59FDD-BA07-498B-88F4-2C631A68B38D}&lt;/UID&gt;&lt;Title&gt;Myasthenia gravis: an update for the clinician&lt;/Title&gt;&lt;Template&gt;Journal Article&lt;/Template&gt;&lt;Star&gt;0&lt;/Star&gt;&lt;Tag&gt;0&lt;/Tag&gt;&lt;Author&gt;Sieb, J P&lt;/Author&gt;&lt;Year&gt;2014&lt;/Year&gt;&lt;Details&gt;&lt;_accession_num&gt;24117026&lt;/_accession_num&gt;&lt;_author_adr&gt;Department of Neurology, HELIOS Hanseklinikum Stralsund, University Hospital Bonn, Germany.&lt;/_author_adr&gt;&lt;_date_display&gt;2014 Mar&lt;/_date_display&gt;&lt;_date&gt;2014-03-01&lt;/_date&gt;&lt;_doi&gt;10.1111/cei.12217&lt;/_doi&gt;&lt;_isbn&gt;1365-2249 (Electronic); 0009-9104 (Linking)&lt;/_isbn&gt;&lt;_issue&gt;3&lt;/_issue&gt;&lt;_journal&gt;Clin Exp Immunol&lt;/_journal&gt;&lt;_keywords&gt;Humans; *Myasthenia Gravis/diagnosis/drug therapy/epidemiology/etiologydiagnostics; myasthenia gravis; neuroimmunology; therapy/immunotherapy&lt;/_keywords&gt;&lt;_language&gt;eng&lt;/_language&gt;&lt;_ori_publication&gt;(c) 2013 British Society for Immunology.&lt;/_ori_publication&gt;&lt;_pages&gt;408-18&lt;/_pages&gt;&lt;_tertiary_title&gt;Clinical and experimental immunology&lt;/_tertiary_title&gt;&lt;_type_work&gt;Journal Article; Review&lt;/_type_work&gt;&lt;_url&gt;http://www.ncbi.nlm.nih.gov/entrez/query.fcgi?cmd=Retrieve&amp;amp;db=pubmed&amp;amp;dopt=Abstract&amp;amp;list_uids=24117026&amp;amp;query_hl=1&lt;/_url&gt;&lt;_volume&gt;175&lt;/_volume&gt;&lt;_created&gt;61171263&lt;/_created&gt;&lt;_modified&gt;61171263&lt;/_modified&gt;&lt;_db_updated&gt;PubMed&lt;/_db_updated&gt;&lt;_impact_factor&gt;   3.037&lt;/_impact_factor&gt;&lt;_collection_scope&gt;SCI;SCIE;&lt;/_collection_scope&gt;&lt;/Details&gt;&lt;Extra&gt;&lt;DBUID&gt;{FF70EBC7-AB11-4291-830D-81CEEE254649}&lt;/DBUID&gt;&lt;/Extra&gt;&lt;/Item&gt;&lt;/References&gt;&lt;/Group&gt;&lt;/Citation&gt;_x000a_"/>
    <w:docVar w:name="NE.Ref{8DF88CEC-062A-4629-B9CF-E860A4B91F8D}" w:val=" ADDIN NE.Ref.{8DF88CEC-062A-4629-B9CF-E860A4B91F8D}&lt;Citation&gt;&lt;Group&gt;&lt;References&gt;&lt;Item&gt;&lt;ID&gt;7&lt;/ID&gt;&lt;UID&gt;{E167AF98-5E16-441C-A19F-205067D4F45F}&lt;/UID&gt;&lt;Title&gt;Myasthenic crisis&lt;/Title&gt;&lt;Template&gt;Journal Article&lt;/Template&gt;&lt;Star&gt;0&lt;/Star&gt;&lt;Tag&gt;0&lt;/Tag&gt;&lt;Author&gt;Wendell, L C; Levine, J M&lt;/Author&gt;&lt;Year&gt;2011&lt;/Year&gt;&lt;Details&gt;&lt;_accession_num&gt;23983833&lt;/_accession_num&gt;&lt;_author_adr&gt;Department of Neurology, University of Pennsylvania, Philadephia, PA.&lt;/_author_adr&gt;&lt;_date_display&gt;2011 Jan&lt;/_date_display&gt;&lt;_date&gt;2011-01-01&lt;/_date&gt;&lt;_doi&gt;10.1177/1941875210382918&lt;/_doi&gt;&lt;_isbn&gt;1941-8744 (Print); 1941-8744 (Linking)&lt;/_isbn&gt;&lt;_issue&gt;1&lt;/_issue&gt;&lt;_journal&gt;Neurohospitalist&lt;/_journal&gt;&lt;_keywords&gt;autoimmune diseases of the nervous system; myasthenia gravis; neurocritical care clinical specialty; neuromuscular disease clinical specialty&lt;/_keywords&gt;&lt;_language&gt;eng&lt;/_language&gt;&lt;_pages&gt;16-22&lt;/_pages&gt;&lt;_tertiary_title&gt;The Neurohospitalist&lt;/_tertiary_title&gt;&lt;_type_work&gt;Journal Article&lt;/_type_work&gt;&lt;_url&gt;http://www.ncbi.nlm.nih.gov/entrez/query.fcgi?cmd=Retrieve&amp;amp;db=pubmed&amp;amp;dopt=Abstract&amp;amp;list_uids=23983833&amp;amp;query_hl=1&lt;/_url&gt;&lt;_volume&gt;1&lt;/_volume&gt;&lt;_created&gt;61171254&lt;/_created&gt;&lt;_modified&gt;61171256&lt;/_modified&gt;&lt;_db_updated&gt;PubMed&lt;/_db_updated&gt;&lt;/Details&gt;&lt;Extra&gt;&lt;DBUID&gt;{FF70EBC7-AB11-4291-830D-81CEEE254649}&lt;/DBUID&gt;&lt;/Extra&gt;&lt;/Item&gt;&lt;/References&gt;&lt;/Group&gt;&lt;/Citation&gt;_x000a_"/>
    <w:docVar w:name="NE.Ref{C6786903-797D-4CB2-8EC7-6CA433E614E8}" w:val=" ADDIN NE.Ref.{C6786903-797D-4CB2-8EC7-6CA433E614E8}&lt;Citation&gt;&lt;Group&gt;&lt;References&gt;&lt;Item&gt;&lt;ID&gt;17&lt;/ID&gt;&lt;UID&gt;{D55861B6-FE1C-4BF9-ADAE-334B2F9D8C21}&lt;/UID&gt;&lt;Title&gt;Risk factors for developing postthymectomy myasthenic crisis in Thymoma Patients&lt;/Title&gt;&lt;Template&gt;Journal Article&lt;/Template&gt;&lt;Star&gt;0&lt;/Star&gt;&lt;Tag&gt;0&lt;/Tag&gt;&lt;Author&gt;Wu, Y; Chen, Y; Liu, H; Zou, S&lt;/Author&gt;&lt;Year&gt;2015&lt;/Year&gt;&lt;Details&gt;&lt;_accession_num&gt;26323908&lt;/_accession_num&gt;&lt;_author_adr&gt;Department of Intensive Care Unit, The People&amp;apos;s Hospital of Lishui, Lishui 323000, PR China.&lt;/_author_adr&gt;&lt;_date_display&gt;2015 Aug&lt;/_date_display&gt;&lt;_date&gt;2015-08-01&lt;/_date&gt;&lt;_doi&gt;10.4103/0973-1482.163863&lt;/_doi&gt;&lt;_isbn&gt;1998-4138 (Electronic); 1998-4138 (Linking)&lt;/_isbn&gt;&lt;_journal&gt;J Cancer Res Ther&lt;/_journal&gt;&lt;_language&gt;eng&lt;/_language&gt;&lt;_pages&gt;C115-7&lt;/_pages&gt;&lt;_tertiary_title&gt;Journal of cancer research and therapeutics&lt;/_tertiary_title&gt;&lt;_type_work&gt;Journal Article&lt;/_type_work&gt;&lt;_url&gt;http://www.ncbi.nlm.nih.gov/entrez/query.fcgi?cmd=Retrieve&amp;amp;db=pubmed&amp;amp;dopt=Abstract&amp;amp;list_uids=26323908&amp;amp;query_hl=1&lt;/_url&gt;&lt;_volume&gt;11 Suppl 1&lt;/_volume&gt;&lt;_created&gt;61232038&lt;/_created&gt;&lt;_modified&gt;61232054&lt;/_modified&gt;&lt;_db_updated&gt;PubMed&lt;/_db_updated&gt;&lt;_impact_factor&gt;   0.791&lt;/_impact_factor&gt;&lt;_collection_scope&gt;SCIE;&lt;/_collection_scope&gt;&lt;/Details&gt;&lt;Extra&gt;&lt;DBUID&gt;{FF70EBC7-AB11-4291-830D-81CEEE254649}&lt;/DBUID&gt;&lt;/Extra&gt;&lt;/Item&gt;&lt;/References&gt;&lt;/Group&gt;&lt;Group&gt;&lt;References&gt;&lt;Item&gt;&lt;ID&gt;18&lt;/ID&gt;&lt;UID&gt;{40B59285-C732-49FF-B900-23892F2CE63C}&lt;/UID&gt;&lt;Title&gt;Preoperative Anxiety in Patients With Myasthenia Gravis and Risk for Myasthenic Crisis After Extended Transsternal Thymectomy: A CONSORT Study&lt;/Title&gt;&lt;Template&gt;Journal Article&lt;/Template&gt;&lt;Star&gt;0&lt;/Star&gt;&lt;Tag&gt;0&lt;/Tag&gt;&lt;Author&gt;Zou, J; Su, C; Lun, X; Liu, W; Yang, W; Zhong, B; Zhu, H; Lei, Y; Luo, H; Chen, Z&lt;/Author&gt;&lt;Year&gt;2016&lt;/Year&gt;&lt;Details&gt;&lt;_accession_num&gt;26962777&lt;/_accession_num&gt;&lt;_author_adr&gt;From the Department of Thoracic Surgery, the First Affiliated Hospital (JZ, CS, HZ, YL, HL, ZC); Lung Cancer Research Center (JZ, CS, XL, WY, HZ, YL, HL, ZC); Department of Cardiothoracic Surgery of East Division, the First Affiliated Hospital (XL, WY, ZC); Department of Neurology, the First Affiliated Hospital (WL); and Department of Thoracic Surgery, the Fifth Affiliated Hospital, Sun Yat-sen University, Zhuhai, Guangdong 519000, China (BZ).&lt;/_author_adr&gt;&lt;_date_display&gt;2016 Mar&lt;/_date_display&gt;&lt;_date&gt;2016-03-01&lt;/_date&gt;&lt;_doi&gt;10.1097/MD.0000000000002828&lt;/_doi&gt;&lt;_isbn&gt;1536-5964 (Electronic); 0025-7974 (Linking)&lt;/_isbn&gt;&lt;_issue&gt;10&lt;/_issue&gt;&lt;_journal&gt;Medicine (Baltimore)&lt;/_journal&gt;&lt;_language&gt;eng&lt;/_language&gt;&lt;_pages&gt;e2828&lt;/_pages&gt;&lt;_tertiary_title&gt;Medicine&lt;/_tertiary_title&gt;&lt;_type_work&gt;Journal Article&lt;/_type_work&gt;&lt;_url&gt;http://www.ncbi.nlm.nih.gov/entrez/query.fcgi?cmd=Retrieve&amp;amp;db=pubmed&amp;amp;dopt=Abstract&amp;amp;list_uids=26962777&amp;amp;query_hl=1&lt;/_url&gt;&lt;_volume&gt;95&lt;/_volume&gt;&lt;_created&gt;61232038&lt;/_created&gt;&lt;_modified&gt;61232059&lt;/_modified&gt;&lt;_db_updated&gt;PubMed&lt;/_db_updated&gt;&lt;_impact_factor&gt;   5.723&lt;/_impact_factor&gt;&lt;/Details&gt;&lt;Extra&gt;&lt;DBUID&gt;{FF70EBC7-AB11-4291-830D-81CEEE254649}&lt;/DBUID&gt;&lt;/Extra&gt;&lt;/Item&gt;&lt;/References&gt;&lt;/Group&gt;&lt;/Citation&gt;_x000a_"/>
    <w:docVar w:name="NE.Ref{C936CCA9-9A84-4270-A017-6AFCC517CEA7}" w:val=" ADDIN NE.Ref.{C936CCA9-9A84-4270-A017-6AFCC517CEA7}&lt;Citation&gt;&lt;Group&gt;&lt;References&gt;&lt;Item&gt;&lt;ID&gt;4&lt;/ID&gt;&lt;UID&gt;{2EF778D2-56E6-4B7D-8B8C-9E44C00DB0D9}&lt;/UID&gt;&lt;Title&gt;A standardized protocol for the perioperative management of myasthenia gravis patients. Experience with 110 patients&lt;/Title&gt;&lt;Template&gt;Journal Article&lt;/Template&gt;&lt;Star&gt;0&lt;/Star&gt;&lt;Tag&gt;0&lt;/Tag&gt;&lt;Author&gt;Gritti, P; Sgarzi, M; Carrara, B; Lanterna, L A; Novellino, L; Spinelli, L; Khotcholava, M; Poli, G; Lorini, F L; Sonzogni, V&lt;/Author&gt;&lt;Year&gt;2012&lt;/Year&gt;&lt;Details&gt;&lt;_accession_num&gt;22092037&lt;/_accession_num&gt;&lt;_author_adr&gt;Department of Anesthesia and Intensive Care, Ospedali Riuniti di Bergamo, Italy.  grittip@libero.it&lt;/_author_adr&gt;&lt;_date_display&gt;2012 Jan&lt;/_date_display&gt;&lt;_date&gt;2012-01-01&lt;/_date&gt;&lt;_doi&gt;10.1111/j.1399-6576.2011.02564.x&lt;/_doi&gt;&lt;_isbn&gt;1399-6576 (Electronic); 0001-5172 (Linking)&lt;/_isbn&gt;&lt;_issue&gt;1&lt;/_issue&gt;&lt;_journal&gt;Acta Anaesthesiol Scand&lt;/_journal&gt;&lt;_keywords&gt;Adolescent; Adult; Aged; Anesthesia; Child; Clinical Protocols; Cohort Studies; Cost-Benefit Analysis; Critical Care; Female; Hospital Costs; Humans; Male; Middle Aged; Myasthenia Gravis/diagnosis/economics/*therapy; Neurologic Examination; Patient Selection; *Perioperative Care/economics; Postoperative Care; Postoperative Complications/diagnosis/epidemiology/mortality; Preoperative Care; Respiratory Mechanics; Treatment Outcome; Young Adult&lt;/_keywords&gt;&lt;_language&gt;eng&lt;/_language&gt;&lt;_ori_publication&gt;(c) 2011 The Authors Acta Anaesthesiologica Scandinavica (c) 2011 The Acta_x000d__x000a_      Anaesthesiologica Scandinavica Foundation.&lt;/_ori_publication&gt;&lt;_pages&gt;66-75&lt;/_pages&gt;&lt;_tertiary_title&gt;Acta anaesthesiologica Scandinavica&lt;/_tertiary_title&gt;&lt;_type_work&gt;Journal Article&lt;/_type_work&gt;&lt;_url&gt;http://www.ncbi.nlm.nih.gov/entrez/query.fcgi?cmd=Retrieve&amp;amp;db=pubmed&amp;amp;dopt=Abstract&amp;amp;list_uids=22092037&amp;amp;query_hl=1&lt;/_url&gt;&lt;_volume&gt;56&lt;/_volume&gt;&lt;_created&gt;61156835&lt;/_created&gt;&lt;_modified&gt;61156835&lt;/_modified&gt;&lt;_db_updated&gt;PubMed&lt;/_db_updated&gt;&lt;_impact_factor&gt;   2.322&lt;/_impact_factor&gt;&lt;/Details&gt;&lt;Extra&gt;&lt;DBUID&gt;{FF70EBC7-AB11-4291-830D-81CEEE254649}&lt;/DBUID&gt;&lt;/Extra&gt;&lt;/Item&gt;&lt;/References&gt;&lt;/Group&gt;&lt;Group&gt;&lt;References&gt;&lt;Item&gt;&lt;ID&gt;12&lt;/ID&gt;&lt;UID&gt;{0E7B4C51-616F-4349-AAB3-586A20597114}&lt;/UID&gt;&lt;Title&gt;重症肌无力患者手术切除胸腺疗效相关机制探讨&lt;/Title&gt;&lt;Template&gt;Journal Article&lt;/Template&gt;&lt;Star&gt;0&lt;/Star&gt;&lt;Tag&gt;0&lt;/Tag&gt;&lt;Author&gt;韩琦; 沙鹏; 王云甫&lt;/Author&gt;&lt;Year&gt;2015&lt;/Year&gt;&lt;Details&gt;&lt;_author_adr&gt;湖北医药学院附属东风医院 十堰442000; 湖北医药学院&lt;/_author_adr&gt;&lt;_author_aff&gt;湖北医药学院附属东风医院 十堰442000; 湖北医药学院&lt;/_author_aff&gt;&lt;_db_provider&gt;北京万方数据股份有限公司&lt;/_db_provider&gt;&lt;_doi&gt;10.11768/nkjwzzzz20150426&lt;/_doi&gt;&lt;_isbn&gt;1007-1024&lt;/_isbn&gt;&lt;_issue&gt;4&lt;/_issue&gt;&lt;_journal&gt;内科急危重症杂志&lt;/_journal&gt;&lt;_keywords&gt;重症肌无力; 胸腺基质淋巴细胞生成素; 调节性T细胞; @@&lt;/_keywords&gt;&lt;_language&gt;chi&lt;/_language&gt;&lt;_pages&gt;305-307&lt;/_pages&gt;&lt;_tertiary_title&gt;Journal of Internal Intensive Medicine&lt;/_tertiary_title&gt;&lt;_translated_title&gt;@@&lt;/_translated_title&gt;&lt;_url&gt;http://d.g.wanfangdata.com.cn/Periodical_nkjwzzzz201504026.aspx&lt;/_url&gt;&lt;_volume&gt;21&lt;/_volume&gt;&lt;_created&gt;61231228&lt;/_created&gt;&lt;_modified&gt;61231228&lt;/_modified&gt;&lt;_db_updated&gt;Wanfangdata&lt;/_db_updated&gt;&lt;_collection_scope&gt;中国科技核心期刊;&lt;/_collection_scope&gt;&lt;_translated_author&gt;Han, Qi;Sha, Peng;Wang, Yunfu&lt;/_translated_author&gt;&lt;/Details&gt;&lt;Extra&gt;&lt;DBUID&gt;{FF70EBC7-AB11-4291-830D-81CEEE254649}&lt;/DBUID&gt;&lt;/Extra&gt;&lt;/Item&gt;&lt;/References&gt;&lt;/Group&gt;&lt;/Citation&gt;_x000a_"/>
    <w:docVar w:name="NE.Ref{E4699F99-77FE-4A9D-9A70-870D63686CB5}" w:val=" ADDIN NE.Ref.{E4699F99-77FE-4A9D-9A70-870D63686CB5}&lt;Citation&gt;&lt;Group&gt;&lt;References&gt;&lt;Item&gt;&lt;ID&gt;13&lt;/ID&gt;&lt;UID&gt;{CECCF02D-9E0F-4E2A-B7CC-615577910761}&lt;/UID&gt;&lt;Title&gt;Prognostic factors for myasthenic crisis after transsternal thymectomy in patients with myasthenia gravis&lt;/Title&gt;&lt;Template&gt;Journal Article&lt;/Template&gt;&lt;Star&gt;0&lt;/Star&gt;&lt;Tag&gt;0&lt;/Tag&gt;&lt;Author&gt;Watanabe, A; Watanabe, T; Obama, T; Mawatari, T; Ohsawa, H; Ichimiya, Y; Takahashi, N; Kusajima, K; Abe, T&lt;/Author&gt;&lt;Year&gt;2004&lt;/Year&gt;&lt;Details&gt;&lt;_accession_num&gt;15001919&lt;/_accession_num&gt;&lt;_author_adr&gt;Department of Thoracic and Cardiovascular Surgery, Sapporo Medical University School of Medicine, South 1 West 16, Chuo-ku, Sapporo 060-8543, Japan. atsushiw@sapmed.ac.jp&lt;/_author_adr&gt;&lt;_date_display&gt;2004 Mar&lt;/_date_display&gt;&lt;_date&gt;2004-03-01&lt;/_date&gt;&lt;_doi&gt;10.1016/j.jtcvs.2003.07.036&lt;/_doi&gt;&lt;_isbn&gt;0022-5223 (Print); 0022-5223 (Linking)&lt;/_isbn&gt;&lt;_issue&gt;3&lt;/_issue&gt;&lt;_journal&gt;J Thorac Cardiovasc Surg&lt;/_journal&gt;&lt;_keywords&gt;Adolescent; Adult; Aged; Female; Humans; Logistic Models; Male; Middle Aged; Multivariate Analysis; Myasthenia Gravis/*surgery; Prognosis; Respiratory Insufficiency/*etiology/therapy; Retrospective Studies; Risk Factors; Thymectomy/*adverse effects&lt;/_keywords&gt;&lt;_language&gt;eng&lt;/_language&gt;&lt;_pages&gt;868-76&lt;/_pages&gt;&lt;_tertiary_title&gt;The Journal of thoracic and cardiovascular surgery&lt;/_tertiary_title&gt;&lt;_type_work&gt;Journal Article&lt;/_type_work&gt;&lt;_url&gt;http://www.ncbi.nlm.nih.gov/entrez/query.fcgi?cmd=Retrieve&amp;amp;db=pubmed&amp;amp;dopt=Abstract&amp;amp;list_uids=15001919&amp;amp;query_hl=1&lt;/_url&gt;&lt;_volume&gt;127&lt;/_volume&gt;&lt;_created&gt;61232035&lt;/_created&gt;&lt;_modified&gt;61232048&lt;/_modified&gt;&lt;_db_updated&gt;PubMed&lt;/_db_updated&gt;&lt;_impact_factor&gt;   4.168&lt;/_impact_factor&gt;&lt;/Details&gt;&lt;Extra&gt;&lt;DBUID&gt;{FF70EBC7-AB11-4291-830D-81CEEE254649}&lt;/DBUID&gt;&lt;/Extra&gt;&lt;/Item&gt;&lt;/References&gt;&lt;/Group&gt;&lt;/Citation&gt;_x000a_"/>
    <w:docVar w:name="ne_docsoft" w:val="MSWord"/>
    <w:docVar w:name="ne_docversion" w:val="NoteExpress 2.0"/>
    <w:docVar w:name="ne_stylename" w:val="中国卒中杂志"/>
  </w:docVars>
  <w:rsids>
    <w:rsidRoot w:val="00C11B63"/>
    <w:rsid w:val="000014F1"/>
    <w:rsid w:val="00013E81"/>
    <w:rsid w:val="00040C21"/>
    <w:rsid w:val="000938A7"/>
    <w:rsid w:val="000C72C6"/>
    <w:rsid w:val="000D4166"/>
    <w:rsid w:val="000D53B6"/>
    <w:rsid w:val="000E501E"/>
    <w:rsid w:val="000E6C06"/>
    <w:rsid w:val="00101607"/>
    <w:rsid w:val="001213FC"/>
    <w:rsid w:val="00127862"/>
    <w:rsid w:val="00167BF7"/>
    <w:rsid w:val="001812FF"/>
    <w:rsid w:val="0019138F"/>
    <w:rsid w:val="001A7F37"/>
    <w:rsid w:val="001D3700"/>
    <w:rsid w:val="001D7C6E"/>
    <w:rsid w:val="002064BF"/>
    <w:rsid w:val="00214E20"/>
    <w:rsid w:val="00243144"/>
    <w:rsid w:val="0025217C"/>
    <w:rsid w:val="00260722"/>
    <w:rsid w:val="0027344E"/>
    <w:rsid w:val="002A7122"/>
    <w:rsid w:val="002C7F27"/>
    <w:rsid w:val="003108D2"/>
    <w:rsid w:val="00323467"/>
    <w:rsid w:val="003757C6"/>
    <w:rsid w:val="003757D0"/>
    <w:rsid w:val="0039102F"/>
    <w:rsid w:val="0039339A"/>
    <w:rsid w:val="003E61EA"/>
    <w:rsid w:val="00411A0E"/>
    <w:rsid w:val="004503F3"/>
    <w:rsid w:val="00480914"/>
    <w:rsid w:val="0048420E"/>
    <w:rsid w:val="004F34B5"/>
    <w:rsid w:val="00511194"/>
    <w:rsid w:val="0057158D"/>
    <w:rsid w:val="005817CA"/>
    <w:rsid w:val="00585299"/>
    <w:rsid w:val="005852F0"/>
    <w:rsid w:val="0059030E"/>
    <w:rsid w:val="00590532"/>
    <w:rsid w:val="005B5633"/>
    <w:rsid w:val="005D7263"/>
    <w:rsid w:val="00620BB2"/>
    <w:rsid w:val="006220E1"/>
    <w:rsid w:val="006554C7"/>
    <w:rsid w:val="00663730"/>
    <w:rsid w:val="0067157B"/>
    <w:rsid w:val="00691C25"/>
    <w:rsid w:val="006A1D95"/>
    <w:rsid w:val="006A5292"/>
    <w:rsid w:val="006F7C17"/>
    <w:rsid w:val="00725AF9"/>
    <w:rsid w:val="00751043"/>
    <w:rsid w:val="00751835"/>
    <w:rsid w:val="00753003"/>
    <w:rsid w:val="007605A9"/>
    <w:rsid w:val="0076102D"/>
    <w:rsid w:val="007823C9"/>
    <w:rsid w:val="007A0F69"/>
    <w:rsid w:val="007B1E93"/>
    <w:rsid w:val="007B2742"/>
    <w:rsid w:val="007C4481"/>
    <w:rsid w:val="007F6C4E"/>
    <w:rsid w:val="0085508C"/>
    <w:rsid w:val="0086242C"/>
    <w:rsid w:val="00885BB2"/>
    <w:rsid w:val="008A119B"/>
    <w:rsid w:val="008E5693"/>
    <w:rsid w:val="00916286"/>
    <w:rsid w:val="00940813"/>
    <w:rsid w:val="00945CD8"/>
    <w:rsid w:val="00952AC6"/>
    <w:rsid w:val="0096384A"/>
    <w:rsid w:val="00973883"/>
    <w:rsid w:val="00990421"/>
    <w:rsid w:val="009C4353"/>
    <w:rsid w:val="009D2AD2"/>
    <w:rsid w:val="009E60A7"/>
    <w:rsid w:val="009F7F54"/>
    <w:rsid w:val="00A0114F"/>
    <w:rsid w:val="00A36145"/>
    <w:rsid w:val="00A73220"/>
    <w:rsid w:val="00AA5DDE"/>
    <w:rsid w:val="00B05DB1"/>
    <w:rsid w:val="00B37EA7"/>
    <w:rsid w:val="00B55BF8"/>
    <w:rsid w:val="00B71EAD"/>
    <w:rsid w:val="00BF1CB9"/>
    <w:rsid w:val="00C11B63"/>
    <w:rsid w:val="00C25D78"/>
    <w:rsid w:val="00C446A5"/>
    <w:rsid w:val="00C525BC"/>
    <w:rsid w:val="00C54EFE"/>
    <w:rsid w:val="00C744DA"/>
    <w:rsid w:val="00C8141E"/>
    <w:rsid w:val="00CA1D87"/>
    <w:rsid w:val="00CA4A09"/>
    <w:rsid w:val="00CC7D59"/>
    <w:rsid w:val="00CF0F31"/>
    <w:rsid w:val="00D02C9F"/>
    <w:rsid w:val="00D31021"/>
    <w:rsid w:val="00D5070E"/>
    <w:rsid w:val="00D5078C"/>
    <w:rsid w:val="00D74497"/>
    <w:rsid w:val="00D863A4"/>
    <w:rsid w:val="00D8735E"/>
    <w:rsid w:val="00DD5D58"/>
    <w:rsid w:val="00E433C4"/>
    <w:rsid w:val="00E666A5"/>
    <w:rsid w:val="00E76D2E"/>
    <w:rsid w:val="00E824E0"/>
    <w:rsid w:val="00E82AF3"/>
    <w:rsid w:val="00EB4A0E"/>
    <w:rsid w:val="00EC003B"/>
    <w:rsid w:val="00EE32D9"/>
    <w:rsid w:val="00F27FB0"/>
    <w:rsid w:val="00F27FB5"/>
    <w:rsid w:val="00F438DC"/>
    <w:rsid w:val="00F45ACB"/>
    <w:rsid w:val="00FC25BE"/>
    <w:rsid w:val="76C7236B"/>
  </w:rsids>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unhideWhenUsed/>
    <w:uiPriority w:val="1"/>
  </w:style>
  <w:style w:type="table" w:default="1" w:styleId="6">
    <w:name w:val="Normal Table"/>
    <w:unhideWhenUsed/>
    <w:uiPriority w:val="99"/>
    <w:tblPr>
      <w:tblLayout w:type="fixed"/>
      <w:tblCellMar>
        <w:top w:w="0" w:type="dxa"/>
        <w:left w:w="108" w:type="dxa"/>
        <w:bottom w:w="0" w:type="dxa"/>
        <w:right w:w="108" w:type="dxa"/>
      </w:tblCellMar>
    </w:tblPr>
  </w:style>
  <w:style w:type="paragraph" w:styleId="2">
    <w:name w:val="Balloon Text"/>
    <w:basedOn w:val="1"/>
    <w:link w:val="11"/>
    <w:unhideWhenUsed/>
    <w:qFormat/>
    <w:uiPriority w:val="99"/>
    <w:rPr>
      <w:sz w:val="18"/>
      <w:szCs w:val="18"/>
    </w:rPr>
  </w:style>
  <w:style w:type="paragraph" w:styleId="3">
    <w:name w:val="footer"/>
    <w:basedOn w:val="1"/>
    <w:link w:val="10"/>
    <w:unhideWhenUsed/>
    <w:uiPriority w:val="99"/>
    <w:pPr>
      <w:tabs>
        <w:tab w:val="center" w:pos="4153"/>
        <w:tab w:val="right" w:pos="8306"/>
      </w:tabs>
      <w:snapToGrid w:val="0"/>
      <w:jc w:val="left"/>
    </w:pPr>
    <w:rPr>
      <w:sz w:val="18"/>
      <w:szCs w:val="18"/>
    </w:rPr>
  </w:style>
  <w:style w:type="paragraph" w:styleId="4">
    <w:name w:val="header"/>
    <w:basedOn w:val="1"/>
    <w:link w:val="9"/>
    <w:unhideWhenUsed/>
    <w:uiPriority w:val="99"/>
    <w:pPr>
      <w:pBdr>
        <w:bottom w:val="single" w:color="auto" w:sz="6" w:space="1"/>
      </w:pBdr>
      <w:tabs>
        <w:tab w:val="center" w:pos="4153"/>
        <w:tab w:val="right" w:pos="8306"/>
      </w:tabs>
      <w:snapToGrid w:val="0"/>
      <w:jc w:val="center"/>
    </w:pPr>
    <w:rPr>
      <w:sz w:val="18"/>
      <w:szCs w:val="18"/>
    </w:rPr>
  </w:style>
  <w:style w:type="table" w:styleId="7">
    <w:name w:val="Table Grid"/>
    <w:basedOn w:val="6"/>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styleId="8">
    <w:name w:val="Light Shading"/>
    <w:basedOn w:val="6"/>
    <w:qFormat/>
    <w:uiPriority w:val="60"/>
    <w:rPr>
      <w:rFonts w:eastAsia="Times New Roman"/>
      <w:color w:val="000000" w:themeColor="text1" w:themeShade="BF"/>
    </w:rPr>
    <w:tblPr>
      <w:tblBorders>
        <w:top w:val="single" w:color="000000" w:themeColor="text1" w:sz="8" w:space="0"/>
        <w:bottom w:val="single" w:color="000000" w:themeColor="text1" w:sz="8" w:space="0"/>
      </w:tblBorders>
      <w:tblLayout w:type="fixed"/>
      <w:tblCellMar>
        <w:top w:w="0" w:type="dxa"/>
        <w:left w:w="108" w:type="dxa"/>
        <w:bottom w:w="0" w:type="dxa"/>
        <w:right w:w="108" w:type="dxa"/>
      </w:tblCellMar>
    </w:tblPr>
    <w:tcPr>
      <w:shd w:val="clear" w:color="auto" w:fill="FFFFFF" w:themeFill="background1"/>
    </w:tcPr>
    <w:tblStylePr w:type="firstRow">
      <w:pPr>
        <w:spacing w:before="0" w:beforeLines="0" w:beforeAutospacing="0" w:after="0" w:afterLines="0" w:afterAutospacing="0" w:line="240" w:lineRule="auto"/>
      </w:pPr>
      <w:rPr>
        <w:b/>
        <w:bCs/>
      </w:rPr>
      <w:tblPr>
        <w:tblLayout w:type="fixed"/>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beforeLines="0" w:beforeAutospacing="0" w:after="0" w:afterLines="0" w:afterAutospacing="0" w:line="240" w:lineRule="auto"/>
      </w:pPr>
      <w:rPr>
        <w:b/>
        <w:bCs/>
      </w:rPr>
      <w:tblPr>
        <w:tblLayout w:type="fixed"/>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blLayout w:type="fixed"/>
      </w:tblPr>
      <w:tcPr>
        <w:tcBorders>
          <w:left w:val="nil"/>
          <w:right w:val="nil"/>
          <w:insideH w:val="nil"/>
          <w:insideV w:val="nil"/>
        </w:tcBorders>
        <w:shd w:val="clear" w:color="auto" w:fill="BFBFBF" w:themeFill="text1" w:themeFillTint="3F"/>
      </w:tcPr>
    </w:tblStylePr>
    <w:tblStylePr w:type="band1Horz">
      <w:tblPr>
        <w:tblLayout w:type="fixed"/>
      </w:tblPr>
      <w:tcPr>
        <w:tcBorders>
          <w:left w:val="nil"/>
          <w:right w:val="nil"/>
          <w:insideH w:val="nil"/>
          <w:insideV w:val="nil"/>
        </w:tcBorders>
        <w:shd w:val="clear" w:color="auto" w:fill="BFBFBF" w:themeFill="text1" w:themeFillTint="3F"/>
      </w:tcPr>
    </w:tblStylePr>
  </w:style>
  <w:style w:type="character" w:customStyle="1" w:styleId="9">
    <w:name w:val="页眉 Char"/>
    <w:basedOn w:val="5"/>
    <w:link w:val="4"/>
    <w:uiPriority w:val="99"/>
    <w:rPr>
      <w:sz w:val="18"/>
      <w:szCs w:val="18"/>
    </w:rPr>
  </w:style>
  <w:style w:type="character" w:customStyle="1" w:styleId="10">
    <w:name w:val="页脚 Char"/>
    <w:basedOn w:val="5"/>
    <w:link w:val="3"/>
    <w:uiPriority w:val="99"/>
    <w:rPr>
      <w:sz w:val="18"/>
      <w:szCs w:val="18"/>
    </w:rPr>
  </w:style>
  <w:style w:type="character" w:customStyle="1" w:styleId="11">
    <w:name w:val="批注框文本 Char"/>
    <w:basedOn w:val="5"/>
    <w:link w:val="2"/>
    <w:semiHidden/>
    <w:qFormat/>
    <w:uiPriority w:val="99"/>
    <w:rPr>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1E051CA-BCAC-43C2-9A71-88AC7CC05E14}">
  <ds:schemaRefs/>
</ds:datastoreItem>
</file>

<file path=docProps/app.xml><?xml version="1.0" encoding="utf-8"?>
<Properties xmlns="http://schemas.openxmlformats.org/officeDocument/2006/extended-properties" xmlns:vt="http://schemas.openxmlformats.org/officeDocument/2006/docPropsVTypes">
  <Template>Normal.dotm</Template>
  <Pages>6</Pages>
  <Words>1385</Words>
  <Characters>7897</Characters>
  <Lines>65</Lines>
  <Paragraphs>18</Paragraphs>
  <TotalTime>0</TotalTime>
  <ScaleCrop>false</ScaleCrop>
  <LinksUpToDate>false</LinksUpToDate>
  <CharactersWithSpaces>9264</CharactersWithSpaces>
  <Application>WPS Office_10.1.0.5400_F1E327BC-269C-435d-A152-05C5408002CA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2016-05-29T21:49:00Z</dcterms:created>
  <dc:creator>尚珂</dc:creator>
  <dc:description>NE.Ref</dc:description>
  <cp:lastModifiedBy>snjk</cp:lastModifiedBy>
  <dcterms:modified xsi:type="dcterms:W3CDTF">2016-06-03T01:30:49Z</dcterms:modified>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2052-10.1.0.5400</vt:lpwstr>
  </property>
</Properties>
</file>