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5EEC9E" w14:textId="77777777" w:rsidR="008505F4" w:rsidRDefault="008505F4" w:rsidP="008505F4">
      <w:pPr>
        <w:jc w:val="center"/>
        <w:rPr>
          <w:rFonts w:hint="eastAsia"/>
          <w:b/>
          <w:bCs/>
          <w:sz w:val="32"/>
          <w:szCs w:val="32"/>
        </w:rPr>
      </w:pPr>
      <w:r>
        <w:rPr>
          <w:rFonts w:hint="eastAsia"/>
          <w:b/>
          <w:bCs/>
          <w:sz w:val="32"/>
          <w:szCs w:val="32"/>
        </w:rPr>
        <w:t>生长抑素联合前列地</w:t>
      </w:r>
      <w:proofErr w:type="gramStart"/>
      <w:r>
        <w:rPr>
          <w:rFonts w:hint="eastAsia"/>
          <w:b/>
          <w:bCs/>
          <w:sz w:val="32"/>
          <w:szCs w:val="32"/>
        </w:rPr>
        <w:t>尔治</w:t>
      </w:r>
      <w:r>
        <w:rPr>
          <w:rFonts w:hint="eastAsia"/>
          <w:b/>
          <w:bCs/>
          <w:color w:val="000000"/>
          <w:sz w:val="32"/>
          <w:szCs w:val="32"/>
        </w:rPr>
        <w:t>疗</w:t>
      </w:r>
      <w:proofErr w:type="gramEnd"/>
      <w:r>
        <w:rPr>
          <w:rFonts w:hint="eastAsia"/>
          <w:b/>
          <w:bCs/>
          <w:color w:val="000000"/>
          <w:sz w:val="32"/>
          <w:szCs w:val="32"/>
        </w:rPr>
        <w:t>急性重症胰</w:t>
      </w:r>
      <w:r>
        <w:rPr>
          <w:rFonts w:hint="eastAsia"/>
          <w:b/>
          <w:bCs/>
          <w:sz w:val="32"/>
          <w:szCs w:val="32"/>
        </w:rPr>
        <w:t>腺炎的疗效观察</w:t>
      </w:r>
    </w:p>
    <w:p w14:paraId="23A81AB4" w14:textId="77777777" w:rsidR="008505F4" w:rsidRDefault="008505F4" w:rsidP="008505F4">
      <w:pPr>
        <w:jc w:val="center"/>
        <w:rPr>
          <w:rFonts w:ascii="楷体" w:eastAsia="楷体" w:hAnsi="楷体" w:cs="楷体" w:hint="eastAsia"/>
          <w:color w:val="FF0000"/>
        </w:rPr>
      </w:pPr>
      <w:proofErr w:type="gramStart"/>
      <w:r>
        <w:rPr>
          <w:rFonts w:ascii="楷体" w:eastAsia="楷体" w:hAnsi="楷体" w:cs="楷体" w:hint="eastAsia"/>
          <w:color w:val="FF0000"/>
        </w:rPr>
        <w:t>赵铭</w:t>
      </w:r>
      <w:proofErr w:type="gramEnd"/>
      <w:r>
        <w:rPr>
          <w:rFonts w:ascii="楷体" w:eastAsia="楷体" w:hAnsi="楷体" w:cs="楷体" w:hint="eastAsia"/>
          <w:color w:val="FF0000"/>
        </w:rPr>
        <w:t xml:space="preserve"> 江小云 邓宏 丁顺斌</w:t>
      </w:r>
    </w:p>
    <w:p w14:paraId="031532CD" w14:textId="77777777" w:rsidR="008505F4" w:rsidRDefault="008505F4" w:rsidP="008505F4">
      <w:pPr>
        <w:jc w:val="center"/>
        <w:rPr>
          <w:rFonts w:ascii="楷体" w:eastAsia="楷体" w:hAnsi="楷体" w:cs="楷体" w:hint="eastAsia"/>
          <w:color w:val="FF0000"/>
        </w:rPr>
      </w:pPr>
      <w:r>
        <w:rPr>
          <w:rFonts w:ascii="楷体" w:eastAsia="楷体" w:hAnsi="楷体" w:cs="楷体" w:hint="eastAsia"/>
          <w:color w:val="FF0000"/>
        </w:rPr>
        <w:t>四川省德阳市人民医院消化内科（四川 德阳 618000）</w:t>
      </w:r>
    </w:p>
    <w:p w14:paraId="5F4A99EB" w14:textId="77777777" w:rsidR="008505F4" w:rsidRPr="00A307CA" w:rsidRDefault="008505F4" w:rsidP="008505F4">
      <w:pPr>
        <w:ind w:firstLineChars="200" w:firstLine="482"/>
        <w:rPr>
          <w:rFonts w:hint="eastAsia"/>
        </w:rPr>
      </w:pPr>
      <w:r>
        <w:rPr>
          <w:rFonts w:hint="eastAsia"/>
          <w:b/>
          <w:bCs/>
        </w:rPr>
        <w:t>[</w:t>
      </w:r>
      <w:r>
        <w:rPr>
          <w:rFonts w:hint="eastAsia"/>
          <w:b/>
          <w:bCs/>
        </w:rPr>
        <w:t>摘要</w:t>
      </w:r>
      <w:r>
        <w:rPr>
          <w:rFonts w:hint="eastAsia"/>
          <w:b/>
          <w:bCs/>
        </w:rPr>
        <w:t xml:space="preserve">] </w:t>
      </w:r>
      <w:r>
        <w:rPr>
          <w:rFonts w:hint="eastAsia"/>
          <w:b/>
          <w:bCs/>
        </w:rPr>
        <w:t>目的</w:t>
      </w:r>
      <w:r>
        <w:rPr>
          <w:rFonts w:hint="eastAsia"/>
        </w:rPr>
        <w:t xml:space="preserve"> </w:t>
      </w:r>
      <w:r>
        <w:rPr>
          <w:rFonts w:hint="eastAsia"/>
        </w:rPr>
        <w:t>评价生长抑素联合前列地</w:t>
      </w:r>
      <w:proofErr w:type="gramStart"/>
      <w:r>
        <w:rPr>
          <w:rFonts w:hint="eastAsia"/>
        </w:rPr>
        <w:t>尔治</w:t>
      </w:r>
      <w:r>
        <w:rPr>
          <w:rFonts w:hint="eastAsia"/>
          <w:color w:val="000000"/>
        </w:rPr>
        <w:t>疗</w:t>
      </w:r>
      <w:proofErr w:type="gramEnd"/>
      <w:r>
        <w:rPr>
          <w:rFonts w:hint="eastAsia"/>
          <w:color w:val="000000"/>
        </w:rPr>
        <w:t>重症急性胰</w:t>
      </w:r>
      <w:r>
        <w:rPr>
          <w:rFonts w:hint="eastAsia"/>
        </w:rPr>
        <w:t>腺炎患者的临床疗效。</w:t>
      </w:r>
      <w:r>
        <w:rPr>
          <w:rFonts w:hint="eastAsia"/>
          <w:b/>
          <w:bCs/>
        </w:rPr>
        <w:t>方法</w:t>
      </w:r>
      <w:r>
        <w:rPr>
          <w:rFonts w:hint="eastAsia"/>
        </w:rPr>
        <w:t xml:space="preserve"> </w:t>
      </w:r>
      <w:r>
        <w:rPr>
          <w:rFonts w:hint="eastAsia"/>
        </w:rPr>
        <w:t>将</w:t>
      </w:r>
      <w:r w:rsidRPr="00F15066">
        <w:rPr>
          <w:rFonts w:hint="eastAsia"/>
          <w:bCs/>
        </w:rPr>
        <w:t>2012</w:t>
      </w:r>
      <w:r w:rsidRPr="00F15066">
        <w:rPr>
          <w:rFonts w:hint="eastAsia"/>
          <w:bCs/>
        </w:rPr>
        <w:t>年</w:t>
      </w:r>
      <w:r w:rsidRPr="00F15066">
        <w:rPr>
          <w:rFonts w:hint="eastAsia"/>
          <w:bCs/>
        </w:rPr>
        <w:t>12</w:t>
      </w:r>
      <w:r w:rsidRPr="00F15066">
        <w:rPr>
          <w:rFonts w:hint="eastAsia"/>
          <w:bCs/>
        </w:rPr>
        <w:t>月到</w:t>
      </w:r>
      <w:r w:rsidRPr="00F15066">
        <w:rPr>
          <w:rFonts w:hint="eastAsia"/>
          <w:bCs/>
        </w:rPr>
        <w:t>2015</w:t>
      </w:r>
      <w:r w:rsidRPr="00F15066">
        <w:rPr>
          <w:rFonts w:hint="eastAsia"/>
          <w:bCs/>
        </w:rPr>
        <w:t>年</w:t>
      </w:r>
      <w:r w:rsidRPr="00F15066">
        <w:rPr>
          <w:rFonts w:hint="eastAsia"/>
          <w:bCs/>
        </w:rPr>
        <w:t>12</w:t>
      </w:r>
      <w:r w:rsidRPr="00F15066">
        <w:rPr>
          <w:rFonts w:hint="eastAsia"/>
          <w:bCs/>
        </w:rPr>
        <w:t>月</w:t>
      </w:r>
      <w:r>
        <w:rPr>
          <w:rFonts w:hint="eastAsia"/>
        </w:rPr>
        <w:t>我</w:t>
      </w:r>
      <w:r>
        <w:rPr>
          <w:rFonts w:hint="eastAsia"/>
          <w:color w:val="000000"/>
        </w:rPr>
        <w:t>院收治的急性重症胰腺炎患者共</w:t>
      </w:r>
      <w:r>
        <w:rPr>
          <w:rFonts w:hint="eastAsia"/>
          <w:color w:val="000000"/>
        </w:rPr>
        <w:t>64</w:t>
      </w:r>
      <w:r>
        <w:rPr>
          <w:rFonts w:hint="eastAsia"/>
          <w:color w:val="000000"/>
        </w:rPr>
        <w:t>例随机分为对照组和联合组进行治疗，在</w:t>
      </w:r>
      <w:r w:rsidRPr="00E7113E">
        <w:rPr>
          <w:rFonts w:hint="eastAsia"/>
          <w:color w:val="000000"/>
        </w:rPr>
        <w:t>禁食、胃肠减压、纠正水电解质紊乱</w:t>
      </w:r>
      <w:r>
        <w:rPr>
          <w:rFonts w:hint="eastAsia"/>
          <w:color w:val="000000"/>
        </w:rPr>
        <w:t>等一般治疗基础上，对照组给予生长抑素治疗，联合组给予生长抑素</w:t>
      </w:r>
      <w:r>
        <w:rPr>
          <w:rFonts w:hint="eastAsia"/>
          <w:color w:val="000000"/>
        </w:rPr>
        <w:t>+</w:t>
      </w:r>
      <w:r>
        <w:rPr>
          <w:rFonts w:hint="eastAsia"/>
          <w:color w:val="000000"/>
        </w:rPr>
        <w:t>前列地尔联合治疗，比较两组患者的临床疗效。</w:t>
      </w:r>
      <w:r>
        <w:rPr>
          <w:rFonts w:hint="eastAsia"/>
          <w:b/>
          <w:bCs/>
          <w:color w:val="000000"/>
        </w:rPr>
        <w:t>结果</w:t>
      </w:r>
      <w:r>
        <w:rPr>
          <w:rFonts w:hint="eastAsia"/>
          <w:b/>
          <w:bCs/>
          <w:color w:val="000000"/>
        </w:rPr>
        <w:t xml:space="preserve"> </w:t>
      </w:r>
      <w:bookmarkStart w:id="0" w:name="OLE_LINK5"/>
      <w:bookmarkStart w:id="1" w:name="OLE_LINK6"/>
      <w:r>
        <w:rPr>
          <w:rFonts w:hint="eastAsia"/>
          <w:kern w:val="0"/>
          <w:szCs w:val="21"/>
        </w:rPr>
        <w:t>联合</w:t>
      </w:r>
      <w:proofErr w:type="gramStart"/>
      <w:r>
        <w:rPr>
          <w:rFonts w:hint="eastAsia"/>
          <w:kern w:val="0"/>
          <w:szCs w:val="21"/>
        </w:rPr>
        <w:t>组治疗</w:t>
      </w:r>
      <w:proofErr w:type="gramEnd"/>
      <w:r>
        <w:rPr>
          <w:rFonts w:hint="eastAsia"/>
          <w:kern w:val="0"/>
          <w:szCs w:val="21"/>
        </w:rPr>
        <w:t>患者的</w:t>
      </w:r>
      <w:r>
        <w:rPr>
          <w:rFonts w:hint="eastAsia"/>
        </w:rPr>
        <w:t>体征消失时间更短</w:t>
      </w:r>
      <w:r>
        <w:rPr>
          <w:rFonts w:hint="eastAsia"/>
          <w:kern w:val="0"/>
          <w:szCs w:val="21"/>
        </w:rPr>
        <w:t>（</w:t>
      </w:r>
      <w:r>
        <w:rPr>
          <w:kern w:val="0"/>
          <w:szCs w:val="21"/>
        </w:rPr>
        <w:t>5.1±1.0</w:t>
      </w:r>
      <w:r>
        <w:rPr>
          <w:rFonts w:hint="eastAsia"/>
          <w:kern w:val="0"/>
          <w:szCs w:val="21"/>
        </w:rPr>
        <w:t xml:space="preserve">  vs. </w:t>
      </w:r>
      <w:r>
        <w:rPr>
          <w:kern w:val="0"/>
          <w:szCs w:val="21"/>
        </w:rPr>
        <w:t>6.7±1.2</w:t>
      </w:r>
      <w:r>
        <w:rPr>
          <w:rFonts w:hint="eastAsia"/>
          <w:kern w:val="0"/>
          <w:szCs w:val="21"/>
        </w:rPr>
        <w:t xml:space="preserve"> </w:t>
      </w:r>
      <w:r>
        <w:rPr>
          <w:rFonts w:hint="eastAsia"/>
          <w:kern w:val="0"/>
          <w:szCs w:val="21"/>
        </w:rPr>
        <w:t>天</w:t>
      </w:r>
      <w:r>
        <w:rPr>
          <w:rFonts w:hint="eastAsia"/>
          <w:kern w:val="0"/>
          <w:szCs w:val="21"/>
        </w:rPr>
        <w:t>, P&lt;0.05</w:t>
      </w:r>
      <w:r>
        <w:rPr>
          <w:rFonts w:hint="eastAsia"/>
          <w:kern w:val="0"/>
          <w:szCs w:val="21"/>
        </w:rPr>
        <w:t>），</w:t>
      </w:r>
      <w:r>
        <w:rPr>
          <w:rFonts w:hint="eastAsia"/>
        </w:rPr>
        <w:t>平均住院时间更短</w:t>
      </w:r>
      <w:r>
        <w:rPr>
          <w:rFonts w:hint="eastAsia"/>
        </w:rPr>
        <w:t>(</w:t>
      </w:r>
      <w:r>
        <w:rPr>
          <w:kern w:val="0"/>
          <w:szCs w:val="21"/>
        </w:rPr>
        <w:t>11.9±4.4</w:t>
      </w:r>
      <w:r>
        <w:rPr>
          <w:rFonts w:hint="eastAsia"/>
          <w:kern w:val="0"/>
          <w:szCs w:val="21"/>
        </w:rPr>
        <w:t xml:space="preserve"> vs. </w:t>
      </w:r>
      <w:r>
        <w:rPr>
          <w:kern w:val="0"/>
          <w:szCs w:val="21"/>
        </w:rPr>
        <w:t>15.4±5.4</w:t>
      </w:r>
      <w:r>
        <w:rPr>
          <w:kern w:val="0"/>
          <w:szCs w:val="21"/>
        </w:rPr>
        <w:t>天</w:t>
      </w:r>
      <w:r>
        <w:rPr>
          <w:rFonts w:hint="eastAsia"/>
          <w:kern w:val="0"/>
          <w:szCs w:val="21"/>
        </w:rPr>
        <w:t>，</w:t>
      </w:r>
      <w:r>
        <w:rPr>
          <w:rFonts w:hint="eastAsia"/>
          <w:i/>
          <w:iCs/>
        </w:rPr>
        <w:t>P</w:t>
      </w:r>
      <w:r>
        <w:rPr>
          <w:rFonts w:hint="eastAsia"/>
        </w:rPr>
        <w:t>&lt;0.05)</w:t>
      </w:r>
      <w:r>
        <w:rPr>
          <w:rFonts w:hint="eastAsia"/>
        </w:rPr>
        <w:t>，并发症发生率</w:t>
      </w:r>
      <w:r>
        <w:rPr>
          <w:rFonts w:hint="eastAsia"/>
          <w:kern w:val="0"/>
          <w:szCs w:val="21"/>
        </w:rPr>
        <w:t>（</w:t>
      </w:r>
      <w:r>
        <w:rPr>
          <w:rFonts w:hint="eastAsia"/>
          <w:kern w:val="0"/>
          <w:szCs w:val="21"/>
        </w:rPr>
        <w:t>15.6%  vs. 25.0%, P&lt;0.05</w:t>
      </w:r>
      <w:r>
        <w:rPr>
          <w:rFonts w:hint="eastAsia"/>
          <w:kern w:val="0"/>
          <w:szCs w:val="21"/>
        </w:rPr>
        <w:t>）及中转手术率（</w:t>
      </w:r>
      <w:r>
        <w:rPr>
          <w:rFonts w:hint="eastAsia"/>
          <w:kern w:val="0"/>
          <w:szCs w:val="21"/>
        </w:rPr>
        <w:t>6.3%  vs. 15.6%, P&lt;0.05</w:t>
      </w:r>
      <w:r>
        <w:rPr>
          <w:rFonts w:hint="eastAsia"/>
          <w:kern w:val="0"/>
          <w:szCs w:val="21"/>
        </w:rPr>
        <w:t>）均更低。但两组患者的死亡率差异无统计学意义（</w:t>
      </w:r>
      <w:r>
        <w:rPr>
          <w:rFonts w:hint="eastAsia"/>
          <w:kern w:val="0"/>
          <w:szCs w:val="21"/>
        </w:rPr>
        <w:t>3.1%  vs. 6.3%, P&gt;0.05</w:t>
      </w:r>
      <w:r>
        <w:rPr>
          <w:rFonts w:hint="eastAsia"/>
          <w:kern w:val="0"/>
          <w:szCs w:val="21"/>
        </w:rPr>
        <w:t>）。</w:t>
      </w:r>
      <w:r>
        <w:rPr>
          <w:rFonts w:hint="eastAsia"/>
          <w:kern w:val="0"/>
          <w:szCs w:val="21"/>
        </w:rPr>
        <w:t>3</w:t>
      </w:r>
      <w:r>
        <w:rPr>
          <w:rFonts w:hint="eastAsia"/>
          <w:kern w:val="0"/>
          <w:szCs w:val="21"/>
        </w:rPr>
        <w:t>例患者均死于胰腺坏死感染后多器官功能障碍。</w:t>
      </w:r>
      <w:r>
        <w:rPr>
          <w:rFonts w:hint="eastAsia"/>
          <w:b/>
          <w:bCs/>
          <w:color w:val="000000"/>
        </w:rPr>
        <w:t>结论</w:t>
      </w:r>
      <w:r>
        <w:rPr>
          <w:rFonts w:hint="eastAsia"/>
          <w:b/>
          <w:bCs/>
          <w:color w:val="000000"/>
        </w:rPr>
        <w:t xml:space="preserve"> </w:t>
      </w:r>
      <w:r>
        <w:rPr>
          <w:rFonts w:hint="eastAsia"/>
        </w:rPr>
        <w:t>生长抑素联合前列地</w:t>
      </w:r>
      <w:proofErr w:type="gramStart"/>
      <w:r>
        <w:rPr>
          <w:rFonts w:hint="eastAsia"/>
        </w:rPr>
        <w:t>尔治疗</w:t>
      </w:r>
      <w:proofErr w:type="gramEnd"/>
      <w:r>
        <w:rPr>
          <w:rFonts w:hint="eastAsia"/>
        </w:rPr>
        <w:t>重症急性胰腺炎可能比单用生长抑素临床疗效更好，值得临床应用推广。</w:t>
      </w:r>
      <w:bookmarkEnd w:id="0"/>
      <w:bookmarkEnd w:id="1"/>
    </w:p>
    <w:p w14:paraId="4BFFB619" w14:textId="77777777" w:rsidR="008505F4" w:rsidRDefault="008505F4" w:rsidP="008505F4">
      <w:pPr>
        <w:rPr>
          <w:rFonts w:hint="eastAsia"/>
          <w:color w:val="000000"/>
        </w:rPr>
      </w:pPr>
      <w:r>
        <w:rPr>
          <w:rFonts w:hint="eastAsia"/>
          <w:b/>
          <w:bCs/>
          <w:color w:val="000000"/>
        </w:rPr>
        <w:t>[</w:t>
      </w:r>
      <w:r>
        <w:rPr>
          <w:rFonts w:hint="eastAsia"/>
          <w:b/>
          <w:bCs/>
          <w:color w:val="000000"/>
        </w:rPr>
        <w:t>关键词</w:t>
      </w:r>
      <w:r>
        <w:rPr>
          <w:rFonts w:hint="eastAsia"/>
          <w:b/>
          <w:bCs/>
          <w:color w:val="000000"/>
        </w:rPr>
        <w:t>]</w:t>
      </w:r>
      <w:r>
        <w:rPr>
          <w:rFonts w:hint="eastAsia"/>
          <w:color w:val="000000"/>
        </w:rPr>
        <w:t xml:space="preserve">  </w:t>
      </w:r>
      <w:r>
        <w:rPr>
          <w:rFonts w:hint="eastAsia"/>
          <w:color w:val="000000"/>
        </w:rPr>
        <w:t>生长抑素；前列地尔；重症急性胰腺炎；</w:t>
      </w:r>
    </w:p>
    <w:p w14:paraId="2BF9B2E0" w14:textId="77777777" w:rsidR="008505F4" w:rsidRDefault="008505F4" w:rsidP="008505F4">
      <w:pPr>
        <w:rPr>
          <w:rFonts w:hint="eastAsia"/>
        </w:rPr>
      </w:pPr>
      <w:r>
        <w:rPr>
          <w:rFonts w:hint="eastAsia"/>
          <w:b/>
          <w:bCs/>
        </w:rPr>
        <w:t>[</w:t>
      </w:r>
      <w:r>
        <w:rPr>
          <w:rFonts w:hint="eastAsia"/>
          <w:b/>
          <w:bCs/>
        </w:rPr>
        <w:t>中图分类号</w:t>
      </w:r>
      <w:r>
        <w:rPr>
          <w:rFonts w:hint="eastAsia"/>
          <w:b/>
          <w:bCs/>
        </w:rPr>
        <w:t>]</w:t>
      </w:r>
      <w:r>
        <w:rPr>
          <w:rFonts w:hint="eastAsia"/>
        </w:rPr>
        <w:t>：</w:t>
      </w:r>
      <w:r>
        <w:rPr>
          <w:rFonts w:hint="eastAsia"/>
        </w:rPr>
        <w:t xml:space="preserve">R675.5               </w:t>
      </w:r>
      <w:r>
        <w:rPr>
          <w:rFonts w:hint="eastAsia"/>
          <w:b/>
          <w:bCs/>
        </w:rPr>
        <w:t>[</w:t>
      </w:r>
      <w:r>
        <w:rPr>
          <w:rFonts w:hint="eastAsia"/>
          <w:b/>
          <w:bCs/>
        </w:rPr>
        <w:t>文献标识码</w:t>
      </w:r>
      <w:r>
        <w:rPr>
          <w:rFonts w:hint="eastAsia"/>
          <w:b/>
          <w:bCs/>
        </w:rPr>
        <w:t>]</w:t>
      </w:r>
      <w:r>
        <w:rPr>
          <w:rFonts w:hint="eastAsia"/>
        </w:rPr>
        <w:t>：</w:t>
      </w:r>
      <w:r>
        <w:rPr>
          <w:rFonts w:hint="eastAsia"/>
        </w:rPr>
        <w:t>A</w:t>
      </w:r>
    </w:p>
    <w:p w14:paraId="25501464" w14:textId="77777777" w:rsidR="008505F4" w:rsidRDefault="008505F4" w:rsidP="008505F4">
      <w:pPr>
        <w:rPr>
          <w:rFonts w:hint="eastAsia"/>
        </w:rPr>
      </w:pPr>
    </w:p>
    <w:p w14:paraId="0C2B1214" w14:textId="77777777" w:rsidR="008505F4" w:rsidRDefault="008505F4" w:rsidP="008505F4">
      <w:pPr>
        <w:rPr>
          <w:rFonts w:hint="eastAsia"/>
        </w:rPr>
      </w:pPr>
      <w:r>
        <w:rPr>
          <w:rFonts w:hint="eastAsia"/>
          <w:b/>
          <w:bCs/>
        </w:rPr>
        <w:t xml:space="preserve">[Abstract] </w:t>
      </w:r>
      <w:proofErr w:type="gramStart"/>
      <w:r>
        <w:rPr>
          <w:rFonts w:hint="eastAsia"/>
          <w:b/>
          <w:bCs/>
        </w:rPr>
        <w:t>Objective</w:t>
      </w:r>
      <w:r>
        <w:rPr>
          <w:rFonts w:hint="eastAsia"/>
        </w:rPr>
        <w:t xml:space="preserve"> To evaluate the clinical efficacy of combination of somatostatin with a</w:t>
      </w:r>
      <w:r w:rsidRPr="00E25619">
        <w:t>lprostadil</w:t>
      </w:r>
      <w:r>
        <w:rPr>
          <w:rFonts w:hint="eastAsia"/>
        </w:rPr>
        <w:t xml:space="preserve"> in the treatment of severe acute pancreatitis.</w:t>
      </w:r>
      <w:proofErr w:type="gramEnd"/>
      <w:r>
        <w:rPr>
          <w:rFonts w:hint="eastAsia"/>
        </w:rPr>
        <w:t xml:space="preserve"> </w:t>
      </w:r>
      <w:r>
        <w:rPr>
          <w:rFonts w:hint="eastAsia"/>
          <w:b/>
          <w:bCs/>
        </w:rPr>
        <w:t>Methods</w:t>
      </w:r>
      <w:r>
        <w:rPr>
          <w:rFonts w:hint="eastAsia"/>
        </w:rPr>
        <w:t xml:space="preserve"> From </w:t>
      </w:r>
      <w:bookmarkStart w:id="2" w:name="OLE_LINK3"/>
      <w:bookmarkStart w:id="3" w:name="OLE_LINK4"/>
      <w:r>
        <w:rPr>
          <w:rFonts w:hint="eastAsia"/>
        </w:rPr>
        <w:t xml:space="preserve">December </w:t>
      </w:r>
      <w:bookmarkEnd w:id="2"/>
      <w:bookmarkEnd w:id="3"/>
      <w:r>
        <w:rPr>
          <w:rFonts w:hint="eastAsia"/>
        </w:rPr>
        <w:t xml:space="preserve">2012 to </w:t>
      </w:r>
      <w:r>
        <w:t>December</w:t>
      </w:r>
      <w:r>
        <w:rPr>
          <w:rFonts w:hint="eastAsia"/>
        </w:rPr>
        <w:t xml:space="preserve"> 2015, sixty-four patients with Severe Acute Pancreatitis were randomly divided into two groups in our hospital. Basing on the c</w:t>
      </w:r>
      <w:r w:rsidRPr="00A3107F">
        <w:t>onventional</w:t>
      </w:r>
      <w:r>
        <w:rPr>
          <w:rFonts w:hint="eastAsia"/>
        </w:rPr>
        <w:t xml:space="preserve"> treatment </w:t>
      </w:r>
      <w:r>
        <w:t>(such as fasting</w:t>
      </w:r>
      <w:r>
        <w:rPr>
          <w:rFonts w:hint="eastAsia"/>
        </w:rPr>
        <w:t>，</w:t>
      </w:r>
      <w:r>
        <w:t>gastrointestinal decompression</w:t>
      </w:r>
      <w:r>
        <w:rPr>
          <w:rFonts w:hint="eastAsia"/>
        </w:rPr>
        <w:t>，</w:t>
      </w:r>
      <w:r>
        <w:t>correcting water and electrolyte disturbance</w:t>
      </w:r>
      <w:r>
        <w:rPr>
          <w:rFonts w:hint="eastAsia"/>
        </w:rPr>
        <w:t>，</w:t>
      </w:r>
      <w:r>
        <w:t>etc.)</w:t>
      </w:r>
      <w:r>
        <w:rPr>
          <w:rFonts w:hint="eastAsia"/>
        </w:rPr>
        <w:t xml:space="preserve">, </w:t>
      </w:r>
      <w:bookmarkStart w:id="4" w:name="OLE_LINK7"/>
      <w:bookmarkStart w:id="5" w:name="OLE_LINK8"/>
      <w:r>
        <w:rPr>
          <w:rFonts w:hint="eastAsia"/>
        </w:rPr>
        <w:t>the control group</w:t>
      </w:r>
      <w:bookmarkEnd w:id="4"/>
      <w:bookmarkEnd w:id="5"/>
      <w:r>
        <w:rPr>
          <w:rFonts w:hint="eastAsia"/>
        </w:rPr>
        <w:t xml:space="preserve"> was given somatostatin, while the observation group was given somatostatin + alprostadil. The clinical efficacy of the two groups was compared</w:t>
      </w:r>
      <w:r>
        <w:rPr>
          <w:rFonts w:hint="eastAsia"/>
        </w:rPr>
        <w:t>．</w:t>
      </w:r>
    </w:p>
    <w:p w14:paraId="6B614342" w14:textId="77777777" w:rsidR="008505F4" w:rsidRDefault="008505F4" w:rsidP="008505F4">
      <w:pPr>
        <w:ind w:firstLineChars="200" w:firstLine="482"/>
        <w:rPr>
          <w:rFonts w:hint="eastAsia"/>
        </w:rPr>
      </w:pPr>
      <w:r>
        <w:rPr>
          <w:rFonts w:hint="eastAsia"/>
          <w:b/>
          <w:bCs/>
        </w:rPr>
        <w:t>Results</w:t>
      </w:r>
      <w:r>
        <w:rPr>
          <w:rFonts w:hint="eastAsia"/>
        </w:rPr>
        <w:t xml:space="preserve"> Compared with the control group, the observation group had a </w:t>
      </w:r>
      <w:r w:rsidRPr="00CF6ABC">
        <w:t>shorter average hospital stay</w:t>
      </w:r>
      <w:r>
        <w:rPr>
          <w:rFonts w:hint="eastAsia"/>
        </w:rPr>
        <w:t xml:space="preserve"> </w:t>
      </w:r>
      <w:bookmarkStart w:id="6" w:name="OLE_LINK17"/>
      <w:bookmarkStart w:id="7" w:name="OLE_LINK18"/>
      <w:r w:rsidRPr="00CF6ABC">
        <w:rPr>
          <w:rFonts w:hint="eastAsia"/>
        </w:rPr>
        <w:t>(11.9</w:t>
      </w:r>
      <w:r w:rsidRPr="00CF6ABC">
        <w:rPr>
          <w:rFonts w:hint="eastAsia"/>
        </w:rPr>
        <w:t>±</w:t>
      </w:r>
      <w:r w:rsidRPr="00CF6ABC">
        <w:rPr>
          <w:rFonts w:hint="eastAsia"/>
        </w:rPr>
        <w:t>4.4 vs. 15.4</w:t>
      </w:r>
      <w:r w:rsidRPr="00CF6ABC">
        <w:rPr>
          <w:rFonts w:hint="eastAsia"/>
        </w:rPr>
        <w:t>±</w:t>
      </w:r>
      <w:r w:rsidRPr="00CF6ABC">
        <w:rPr>
          <w:rFonts w:hint="eastAsia"/>
        </w:rPr>
        <w:t>5.4</w:t>
      </w:r>
      <w:r>
        <w:rPr>
          <w:rFonts w:hint="eastAsia"/>
        </w:rPr>
        <w:t xml:space="preserve"> day</w:t>
      </w:r>
      <w:r w:rsidRPr="00CF6ABC">
        <w:rPr>
          <w:rFonts w:hint="eastAsia"/>
        </w:rPr>
        <w:t>，</w:t>
      </w:r>
      <w:r w:rsidRPr="00CF6ABC">
        <w:rPr>
          <w:rFonts w:hint="eastAsia"/>
        </w:rPr>
        <w:t>P&lt;0.05)</w:t>
      </w:r>
      <w:bookmarkEnd w:id="6"/>
      <w:bookmarkEnd w:id="7"/>
      <w:r>
        <w:rPr>
          <w:rFonts w:hint="eastAsia"/>
        </w:rPr>
        <w:t xml:space="preserve">, </w:t>
      </w:r>
      <w:r w:rsidRPr="00EE3D09">
        <w:t xml:space="preserve">shorter </w:t>
      </w:r>
      <w:r>
        <w:rPr>
          <w:rFonts w:hint="eastAsia"/>
        </w:rPr>
        <w:t>time</w:t>
      </w:r>
      <w:r w:rsidRPr="00EE3D09">
        <w:t xml:space="preserve"> </w:t>
      </w:r>
      <w:r>
        <w:rPr>
          <w:rFonts w:hint="eastAsia"/>
        </w:rPr>
        <w:t xml:space="preserve">of </w:t>
      </w:r>
      <w:r w:rsidRPr="00EE3D09">
        <w:t>signs disappeared</w:t>
      </w:r>
      <w:r>
        <w:rPr>
          <w:rFonts w:hint="eastAsia"/>
        </w:rPr>
        <w:t xml:space="preserve"> </w:t>
      </w:r>
      <w:r w:rsidRPr="00CF6ABC">
        <w:rPr>
          <w:rFonts w:hint="eastAsia"/>
        </w:rPr>
        <w:t>(</w:t>
      </w:r>
      <w:r>
        <w:t>5.1</w:t>
      </w:r>
      <w:r>
        <w:rPr>
          <w:rFonts w:hint="eastAsia"/>
        </w:rPr>
        <w:t>±</w:t>
      </w:r>
      <w:r>
        <w:t>1.0</w:t>
      </w:r>
      <w:r w:rsidRPr="00CF6ABC">
        <w:rPr>
          <w:rFonts w:hint="eastAsia"/>
        </w:rPr>
        <w:t xml:space="preserve"> vs. </w:t>
      </w:r>
      <w:r>
        <w:t>6.7</w:t>
      </w:r>
      <w:r>
        <w:rPr>
          <w:rFonts w:hint="eastAsia"/>
        </w:rPr>
        <w:t>±</w:t>
      </w:r>
      <w:r>
        <w:t>1.2</w:t>
      </w:r>
      <w:r>
        <w:rPr>
          <w:rFonts w:hint="eastAsia"/>
        </w:rPr>
        <w:t xml:space="preserve"> day</w:t>
      </w:r>
      <w:r w:rsidRPr="00CF6ABC">
        <w:rPr>
          <w:rFonts w:hint="eastAsia"/>
        </w:rPr>
        <w:t>，</w:t>
      </w:r>
      <w:r w:rsidRPr="00CF6ABC">
        <w:rPr>
          <w:rFonts w:hint="eastAsia"/>
        </w:rPr>
        <w:t>P&lt;0.05)</w:t>
      </w:r>
      <w:r>
        <w:rPr>
          <w:rFonts w:hint="eastAsia"/>
        </w:rPr>
        <w:t xml:space="preserve">, and </w:t>
      </w:r>
      <w:r w:rsidRPr="00EE3D09">
        <w:t xml:space="preserve">the incidence of complications (15.6% vs. 25.0%, P &lt; 0.05) and the transfer rate of surgery (6.3% </w:t>
      </w:r>
      <w:r w:rsidRPr="00EE3D09">
        <w:lastRenderedPageBreak/>
        <w:t>vs. 15.6%, P &lt; 0.05) were lower.</w:t>
      </w:r>
      <w:r>
        <w:rPr>
          <w:rFonts w:hint="eastAsia"/>
        </w:rPr>
        <w:t xml:space="preserve"> </w:t>
      </w:r>
      <w:r w:rsidRPr="00EE3D09">
        <w:t xml:space="preserve">But there was no statistically significant difference of mortality in both groups </w:t>
      </w:r>
      <w:r>
        <w:t xml:space="preserve">(3.1% vs. 6.3%, P &gt; 0.05). </w:t>
      </w:r>
      <w:r>
        <w:rPr>
          <w:rFonts w:hint="eastAsia"/>
        </w:rPr>
        <w:t>Three</w:t>
      </w:r>
      <w:r w:rsidRPr="00EE3D09">
        <w:t xml:space="preserve"> patients were died of multiple organ dysfunction </w:t>
      </w:r>
      <w:r>
        <w:rPr>
          <w:rFonts w:hint="eastAsia"/>
        </w:rPr>
        <w:t>leaded by</w:t>
      </w:r>
      <w:r w:rsidRPr="00EE3D09">
        <w:t xml:space="preserve"> </w:t>
      </w:r>
      <w:r>
        <w:rPr>
          <w:rFonts w:hint="eastAsia"/>
        </w:rPr>
        <w:t xml:space="preserve">the </w:t>
      </w:r>
      <w:r w:rsidRPr="00EE3D09">
        <w:t>infection</w:t>
      </w:r>
      <w:r>
        <w:rPr>
          <w:rFonts w:hint="eastAsia"/>
        </w:rPr>
        <w:t xml:space="preserve"> after </w:t>
      </w:r>
      <w:r>
        <w:t>pancreatic necrosis</w:t>
      </w:r>
      <w:r w:rsidRPr="00EE3D09">
        <w:t>.</w:t>
      </w:r>
      <w:r>
        <w:rPr>
          <w:rFonts w:hint="eastAsia"/>
        </w:rPr>
        <w:t xml:space="preserve"> </w:t>
      </w:r>
      <w:r>
        <w:rPr>
          <w:rFonts w:hint="eastAsia"/>
          <w:b/>
          <w:bCs/>
        </w:rPr>
        <w:t>Conclusion</w:t>
      </w:r>
      <w:r>
        <w:rPr>
          <w:rFonts w:hint="eastAsia"/>
        </w:rPr>
        <w:t xml:space="preserve"> </w:t>
      </w:r>
      <w:bookmarkStart w:id="8" w:name="OLE_LINK30"/>
      <w:bookmarkStart w:id="9" w:name="OLE_LINK31"/>
      <w:r w:rsidRPr="007126D9">
        <w:t>Somatostatin</w:t>
      </w:r>
      <w:bookmarkEnd w:id="8"/>
      <w:bookmarkEnd w:id="9"/>
      <w:r w:rsidRPr="007126D9">
        <w:t xml:space="preserve"> combined </w:t>
      </w:r>
      <w:r>
        <w:rPr>
          <w:rFonts w:hint="eastAsia"/>
        </w:rPr>
        <w:t>with alprostadil</w:t>
      </w:r>
      <w:r w:rsidRPr="007126D9">
        <w:t xml:space="preserve"> </w:t>
      </w:r>
      <w:r>
        <w:t>in the</w:t>
      </w:r>
      <w:r>
        <w:rPr>
          <w:rFonts w:hint="eastAsia"/>
        </w:rPr>
        <w:t xml:space="preserve"> treatment of severe acute pancreatitis seems to be better than single use of s</w:t>
      </w:r>
      <w:r>
        <w:t>omatostatin</w:t>
      </w:r>
      <w:r>
        <w:rPr>
          <w:rFonts w:hint="eastAsia"/>
        </w:rPr>
        <w:t xml:space="preserve">. </w:t>
      </w:r>
      <w:bookmarkStart w:id="10" w:name="OLE_LINK34"/>
      <w:r>
        <w:rPr>
          <w:rFonts w:hint="eastAsia"/>
        </w:rPr>
        <w:t>It is worthy of clinical application and promotion.</w:t>
      </w:r>
    </w:p>
    <w:bookmarkEnd w:id="10"/>
    <w:p w14:paraId="0D5E2B73" w14:textId="77777777" w:rsidR="008505F4" w:rsidRPr="007126D9" w:rsidRDefault="008505F4" w:rsidP="008505F4">
      <w:pPr>
        <w:rPr>
          <w:rFonts w:hint="eastAsia"/>
        </w:rPr>
      </w:pPr>
    </w:p>
    <w:p w14:paraId="70B5809D" w14:textId="77777777" w:rsidR="008505F4" w:rsidRDefault="008505F4" w:rsidP="008505F4">
      <w:pPr>
        <w:rPr>
          <w:rFonts w:hint="eastAsia"/>
        </w:rPr>
      </w:pPr>
      <w:r>
        <w:rPr>
          <w:rFonts w:hint="eastAsia"/>
          <w:b/>
          <w:bCs/>
        </w:rPr>
        <w:t xml:space="preserve"> [Key words] </w:t>
      </w:r>
      <w:r>
        <w:rPr>
          <w:rFonts w:hint="eastAsia"/>
        </w:rPr>
        <w:t xml:space="preserve">Somatostatin; </w:t>
      </w:r>
      <w:bookmarkStart w:id="11" w:name="OLE_LINK1"/>
      <w:bookmarkStart w:id="12" w:name="OLE_LINK2"/>
      <w:r>
        <w:rPr>
          <w:rFonts w:hint="eastAsia"/>
        </w:rPr>
        <w:t>Alprostadil</w:t>
      </w:r>
      <w:bookmarkEnd w:id="11"/>
      <w:bookmarkEnd w:id="12"/>
      <w:r>
        <w:rPr>
          <w:rFonts w:hint="eastAsia"/>
        </w:rPr>
        <w:t>; Severe Acute Pancreatitis;</w:t>
      </w:r>
    </w:p>
    <w:p w14:paraId="7E13FCD2" w14:textId="77777777" w:rsidR="008505F4" w:rsidRDefault="008505F4" w:rsidP="008505F4">
      <w:pPr>
        <w:rPr>
          <w:rFonts w:hint="eastAsia"/>
        </w:rPr>
      </w:pPr>
      <w:r>
        <w:br w:type="page"/>
      </w:r>
    </w:p>
    <w:p w14:paraId="5FD6F2CF" w14:textId="77777777" w:rsidR="008505F4" w:rsidRDefault="008505F4" w:rsidP="008505F4">
      <w:pPr>
        <w:ind w:firstLine="435"/>
        <w:rPr>
          <w:rFonts w:hint="eastAsia"/>
          <w:color w:val="000000"/>
        </w:rPr>
      </w:pPr>
      <w:r>
        <w:rPr>
          <w:rFonts w:hint="eastAsia"/>
          <w:color w:val="000000"/>
        </w:rPr>
        <w:lastRenderedPageBreak/>
        <w:t>急性胰腺炎（</w:t>
      </w:r>
      <w:r>
        <w:rPr>
          <w:rFonts w:hint="eastAsia"/>
          <w:color w:val="000000"/>
        </w:rPr>
        <w:t>acute pancreatitis, AP</w:t>
      </w:r>
      <w:r>
        <w:rPr>
          <w:rFonts w:hint="eastAsia"/>
          <w:color w:val="000000"/>
        </w:rPr>
        <w:t>）是最常见的需要住院治疗的急腹症之一，并且其发病率在全球范围内呈逐年上升的趋势</w:t>
      </w:r>
      <w:r>
        <w:rPr>
          <w:color w:val="000000"/>
        </w:rPr>
        <w:fldChar w:fldCharType="begin">
          <w:fldData xml:space="preserve">PEVuZE5vdGU+PENpdGU+PEF1dGhvcj5ZYWRhdjwvQXV0aG9yPjxZZWFyPjIwMDY8L1llYXI+PFJl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</w:fldData>
        </w:fldChar>
      </w:r>
      <w:r>
        <w:rPr>
          <w:color w:val="000000"/>
        </w:rPr>
        <w:instrText xml:space="preserve"> ADDIN EN.CITE </w:instrText>
      </w:r>
      <w:r>
        <w:rPr>
          <w:color w:val="000000"/>
        </w:rPr>
        <w:fldChar w:fldCharType="begin">
          <w:fldData xml:space="preserve">PEVuZE5vdGU+PENpdGU+PEF1dGhvcj5ZYWRhdjwvQXV0aG9yPjxZZWFyPjIwMDY8L1llYXI+PFJl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</w:fldData>
        </w:fldChar>
      </w:r>
      <w:r>
        <w:rPr>
          <w:color w:val="000000"/>
        </w:rPr>
        <w:instrText xml:space="preserve"> ADDIN EN.CITE.DATA </w:instrText>
      </w:r>
      <w:r>
        <w:rPr>
          <w:color w:val="000000"/>
        </w:rPr>
      </w:r>
      <w:r>
        <w:rPr>
          <w:color w:val="000000"/>
        </w:rPr>
        <w:fldChar w:fldCharType="end"/>
      </w:r>
      <w:r>
        <w:rPr>
          <w:color w:val="000000"/>
        </w:rPr>
        <w:fldChar w:fldCharType="separate"/>
      </w:r>
      <w:r>
        <w:rPr>
          <w:noProof/>
          <w:color w:val="000000"/>
        </w:rPr>
        <w:t>[</w:t>
      </w:r>
      <w:hyperlink w:anchor="_ENREF_1" w:tooltip="Yadav, 2006 #1" w:history="1">
        <w:r>
          <w:rPr>
            <w:noProof/>
            <w:color w:val="000000"/>
          </w:rPr>
          <w:t>1</w:t>
        </w:r>
      </w:hyperlink>
      <w:r>
        <w:rPr>
          <w:noProof/>
          <w:color w:val="000000"/>
        </w:rPr>
        <w:t xml:space="preserve">, </w:t>
      </w:r>
      <w:hyperlink w:anchor="_ENREF_2" w:tooltip="Isaji, 2015 #2" w:history="1">
        <w:r>
          <w:rPr>
            <w:noProof/>
            <w:color w:val="000000"/>
          </w:rPr>
          <w:t>2</w:t>
        </w:r>
      </w:hyperlink>
      <w:r>
        <w:rPr>
          <w:noProof/>
          <w:color w:val="000000"/>
        </w:rPr>
        <w:t>]</w:t>
      </w:r>
      <w:r>
        <w:rPr>
          <w:color w:val="000000"/>
        </w:rPr>
        <w:fldChar w:fldCharType="end"/>
      </w:r>
      <w:r>
        <w:rPr>
          <w:rFonts w:hint="eastAsia"/>
          <w:color w:val="000000"/>
        </w:rPr>
        <w:t>。</w:t>
      </w:r>
      <w:r>
        <w:rPr>
          <w:rFonts w:hint="eastAsia"/>
          <w:color w:val="000000"/>
        </w:rPr>
        <w:t xml:space="preserve">  2012</w:t>
      </w:r>
      <w:r>
        <w:rPr>
          <w:rFonts w:hint="eastAsia"/>
          <w:color w:val="000000"/>
        </w:rPr>
        <w:t>年新修订的亚特兰大分类将急性胰腺炎分为：轻症急性胰腺炎（</w:t>
      </w:r>
      <w:r>
        <w:rPr>
          <w:rFonts w:hint="eastAsia"/>
          <w:color w:val="000000"/>
        </w:rPr>
        <w:t>mild acute pancreatitis, MAP</w:t>
      </w:r>
      <w:r>
        <w:rPr>
          <w:rFonts w:hint="eastAsia"/>
          <w:color w:val="000000"/>
        </w:rPr>
        <w:t>）</w:t>
      </w:r>
      <w:r>
        <w:rPr>
          <w:rFonts w:hint="eastAsia"/>
          <w:color w:val="000000"/>
        </w:rPr>
        <w:t xml:space="preserve">, </w:t>
      </w:r>
      <w:r>
        <w:rPr>
          <w:rFonts w:hint="eastAsia"/>
          <w:color w:val="000000"/>
        </w:rPr>
        <w:t>中度重症急性胰腺炎（</w:t>
      </w:r>
      <w:r>
        <w:rPr>
          <w:rFonts w:hint="eastAsia"/>
          <w:color w:val="000000"/>
        </w:rPr>
        <w:t>moderately severe acute pancreatitis</w:t>
      </w:r>
      <w:r>
        <w:rPr>
          <w:rFonts w:hint="eastAsia"/>
          <w:color w:val="000000"/>
        </w:rPr>
        <w:t>，</w:t>
      </w:r>
      <w:r>
        <w:rPr>
          <w:rFonts w:hint="eastAsia"/>
          <w:color w:val="000000"/>
        </w:rPr>
        <w:t>MSAP</w:t>
      </w:r>
      <w:r>
        <w:rPr>
          <w:rFonts w:hint="eastAsia"/>
          <w:color w:val="000000"/>
        </w:rPr>
        <w:t>）和重症急性胰腺炎（</w:t>
      </w:r>
      <w:r>
        <w:rPr>
          <w:rFonts w:hint="eastAsia"/>
          <w:color w:val="000000"/>
        </w:rPr>
        <w:t>severe acute pancreatitis</w:t>
      </w:r>
      <w:r>
        <w:rPr>
          <w:rFonts w:hint="eastAsia"/>
          <w:color w:val="000000"/>
        </w:rPr>
        <w:t>，</w:t>
      </w:r>
      <w:r>
        <w:rPr>
          <w:rFonts w:hint="eastAsia"/>
          <w:color w:val="000000"/>
        </w:rPr>
        <w:t>SAP</w:t>
      </w:r>
      <w:r>
        <w:rPr>
          <w:rFonts w:hint="eastAsia"/>
          <w:color w:val="000000"/>
        </w:rPr>
        <w:t>）三类。其中，</w:t>
      </w:r>
      <w:r>
        <w:rPr>
          <w:rFonts w:hint="eastAsia"/>
          <w:color w:val="000000"/>
        </w:rPr>
        <w:t>SAP</w:t>
      </w:r>
      <w:r>
        <w:rPr>
          <w:rFonts w:hint="eastAsia"/>
          <w:color w:val="000000"/>
        </w:rPr>
        <w:t>由于其发生后进展快，病情危重，并发症多及死亡率高等特点，一直以来尤其受到人们的关注。</w:t>
      </w:r>
    </w:p>
    <w:p w14:paraId="542DC60A" w14:textId="77777777" w:rsidR="008505F4" w:rsidRPr="00576473" w:rsidRDefault="008505F4" w:rsidP="008505F4">
      <w:pPr>
        <w:ind w:firstLine="435"/>
        <w:rPr>
          <w:rFonts w:hint="eastAsia"/>
          <w:color w:val="000000"/>
        </w:rPr>
      </w:pPr>
      <w:r>
        <w:rPr>
          <w:rFonts w:hint="eastAsia"/>
          <w:color w:val="000000"/>
        </w:rPr>
        <w:t>最近有研究表明，除胰酶的自身消化以外，胰腺微循环障碍是</w:t>
      </w:r>
      <w:r>
        <w:rPr>
          <w:rFonts w:hint="eastAsia"/>
          <w:color w:val="000000"/>
        </w:rPr>
        <w:t>SAP</w:t>
      </w:r>
      <w:r>
        <w:rPr>
          <w:rFonts w:hint="eastAsia"/>
          <w:color w:val="000000"/>
        </w:rPr>
        <w:t>发展加重的重要因素</w:t>
      </w:r>
      <w:r>
        <w:rPr>
          <w:color w:val="000000"/>
        </w:rPr>
        <w:fldChar w:fldCharType="begin"/>
      </w:r>
      <w:r>
        <w:rPr>
          <w:color w:val="000000"/>
        </w:rPr>
        <w:instrText xml:space="preserve"> ADDIN EN.CITE &lt;EndNote&gt;&lt;Cite&gt;&lt;Author&gt;Zhang&lt;/Author&gt;&lt;Year&gt;2009&lt;/Year&gt;&lt;RecNum&gt;5&lt;/RecNum&gt;&lt;DisplayText&gt;[3, 4]&lt;/DisplayText&gt;&lt;record&gt;&lt;rec-number&gt;5&lt;/rec-number&gt;&lt;foreign-keys&gt;&lt;key app="EN" db-id="fewtes0xoxd9pres5a1x50drpvxz0zpzavs0"&gt;5&lt;/key&gt;&lt;/foreign-keys&gt;&lt;ref-type name="Journal Article"&gt;17&lt;/ref-type&gt;&lt;contributors&gt;&lt;authors&gt;&lt;author&gt;Zhang, Xi Ping&lt;/author&gt;&lt;author&gt;Li, Zhi Jun&lt;/author&gt;&lt;author&gt;Jie, Zhang&lt;/author&gt;&lt;/authors&gt;&lt;/contributors&gt;&lt;titles&gt;&lt;title&gt;Inflammatory mediators and microcirculatory disturbance in acute pancreatitis&lt;/title&gt;&lt;secondary-title&gt;Hepatobiliary &amp;amp; Pancreatic Diseases International Hbpd Int&lt;/secondary-title&gt;&lt;/titles&gt;&lt;periodical&gt;&lt;full-title&gt;Hepatobiliary &amp;amp; Pancreatic Diseases International Hbpd Int&lt;/full-title&gt;&lt;/periodical&gt;&lt;pages&gt;351-357&lt;/pages&gt;&lt;volume&gt;8&lt;/volume&gt;&lt;number&gt;4&lt;/number&gt;&lt;dates&gt;&lt;year&gt;2009&lt;/year&gt;&lt;/dates&gt;&lt;urls&gt;&lt;/urls&gt;&lt;/record&gt;&lt;/Cite&gt;&lt;Cite&gt;&lt;Author&gt;Schneider&lt;/Author&gt;&lt;Year&gt;2006&lt;/Year&gt;&lt;RecNum&gt;6&lt;/RecNum&gt;&lt;record&gt;&lt;rec-number&gt;6&lt;/rec-number&gt;&lt;foreign-keys&gt;&lt;key app="EN" db-id="fewtes0xoxd9pres5a1x50drpvxz0zpzavs0"&gt;6&lt;/key&gt;&lt;/foreign-keys&gt;&lt;ref-type name="Journal Article"&gt;17&lt;/ref-type&gt;&lt;contributors&gt;&lt;authors&gt;&lt;author&gt;Schneider, Lutz&lt;/author&gt;&lt;author&gt;Pietschmann, Matthias&lt;/author&gt;&lt;author&gt;Hartwig, Werner&lt;/author&gt;&lt;author&gt;Marcos, Sara Sevillano&lt;/author&gt;&lt;author&gt;Hackert, Thilo&lt;/author&gt;&lt;author&gt;Gebhard, Martha Maria&lt;/author&gt;&lt;author&gt;Uhl, Waldemar&lt;/author&gt;&lt;author&gt;Büchler, Markus W.&lt;/author&gt;&lt;author&gt;Werner, Jens&lt;/author&gt;&lt;/authors&gt;&lt;/contributors&gt;&lt;titles&gt;&lt;title&gt;Inosine reduces microcirculatory disturbance and inflammatory organ damage in experimental acute pancreatitis in rats - The American Journal of Surgery&lt;/title&gt;&lt;secondary-title&gt;American Journal of Surgery&lt;/secondary-title&gt;&lt;/titles&gt;&lt;periodical&gt;&lt;full-title&gt;American Journal of Surgery&lt;/full-title&gt;&lt;/periodical&gt;&lt;pages&gt;510–514&lt;/pages&gt;&lt;volume&gt;191&lt;/volume&gt;&lt;number&gt;191&lt;/number&gt;&lt;dates&gt;&lt;year&gt;2006&lt;/year&gt;&lt;/dates&gt;&lt;urls&gt;&lt;/urls&gt;&lt;/record&gt;&lt;/Cite&gt;&lt;/EndNote&gt;</w:instrText>
      </w:r>
      <w:r>
        <w:rPr>
          <w:color w:val="000000"/>
        </w:rPr>
        <w:fldChar w:fldCharType="separate"/>
      </w:r>
      <w:r>
        <w:rPr>
          <w:noProof/>
          <w:color w:val="000000"/>
        </w:rPr>
        <w:t>[</w:t>
      </w:r>
      <w:hyperlink w:anchor="_ENREF_3" w:tooltip="Zhang, 2009 #5" w:history="1">
        <w:r>
          <w:rPr>
            <w:noProof/>
            <w:color w:val="000000"/>
          </w:rPr>
          <w:t>3</w:t>
        </w:r>
      </w:hyperlink>
      <w:r>
        <w:rPr>
          <w:noProof/>
          <w:color w:val="000000"/>
        </w:rPr>
        <w:t xml:space="preserve">, </w:t>
      </w:r>
      <w:hyperlink w:anchor="_ENREF_4" w:tooltip="Schneider, 2006 #6" w:history="1">
        <w:r>
          <w:rPr>
            <w:noProof/>
            <w:color w:val="000000"/>
          </w:rPr>
          <w:t>4</w:t>
        </w:r>
      </w:hyperlink>
      <w:r>
        <w:rPr>
          <w:noProof/>
          <w:color w:val="000000"/>
        </w:rPr>
        <w:t>]</w:t>
      </w:r>
      <w:r>
        <w:rPr>
          <w:color w:val="000000"/>
        </w:rPr>
        <w:fldChar w:fldCharType="end"/>
      </w:r>
      <w:r>
        <w:rPr>
          <w:rFonts w:hint="eastAsia"/>
          <w:color w:val="000000"/>
        </w:rPr>
        <w:t>。前列地尔（</w:t>
      </w:r>
      <w:r w:rsidRPr="005A582F">
        <w:rPr>
          <w:rFonts w:hint="eastAsia"/>
          <w:color w:val="000000"/>
        </w:rPr>
        <w:t>Prostaglandin E1</w:t>
      </w:r>
      <w:r>
        <w:rPr>
          <w:rFonts w:hint="eastAsia"/>
          <w:color w:val="000000"/>
        </w:rPr>
        <w:t>，</w:t>
      </w:r>
      <w:r>
        <w:rPr>
          <w:rFonts w:hint="eastAsia"/>
          <w:color w:val="000000"/>
        </w:rPr>
        <w:t>PGE1</w:t>
      </w:r>
      <w:r>
        <w:rPr>
          <w:rFonts w:hint="eastAsia"/>
          <w:color w:val="000000"/>
        </w:rPr>
        <w:t>）</w:t>
      </w:r>
      <w:r w:rsidRPr="00EA48A3">
        <w:rPr>
          <w:rFonts w:hint="eastAsia"/>
          <w:color w:val="000000"/>
        </w:rPr>
        <w:t>是花生四烯酸的代谢产物，通过多</w:t>
      </w:r>
      <w:r>
        <w:rPr>
          <w:rFonts w:hint="eastAsia"/>
          <w:color w:val="000000"/>
        </w:rPr>
        <w:t>种途径，改善微循环</w:t>
      </w:r>
      <w:r>
        <w:rPr>
          <w:color w:val="000000"/>
        </w:rPr>
        <w:fldChar w:fldCharType="begin"/>
      </w:r>
      <w:r>
        <w:rPr>
          <w:color w:val="000000"/>
        </w:rPr>
        <w:instrText xml:space="preserve"> ADDIN EN.CITE &lt;EndNote&gt;&lt;Cite&gt;&lt;Author&gt;Heider&lt;/Author&gt;&lt;Year&gt;2008&lt;/Year&gt;&lt;RecNum&gt;7&lt;/RecNum&gt;&lt;DisplayText&gt;[5]&lt;/DisplayText&gt;&lt;record&gt;&lt;rec-number&gt;7&lt;/rec-number&gt;&lt;foreign-keys&gt;&lt;key app="EN" db-id="fewtes0xoxd9pres5a1x50drpvxz0zpzavs0"&gt;7&lt;/key&gt;&lt;/foreign-keys&gt;&lt;ref-type name="Journal Article"&gt;17&lt;/ref-type&gt;&lt;contributors&gt;&lt;authors&gt;&lt;author&gt;Heider, Peter&lt;/author&gt;&lt;author&gt;Wildgruber, Moritz&lt;/author&gt;&lt;author&gt;Wolf, Oliver&lt;/author&gt;&lt;author&gt;Schuster, Tibor&lt;/author&gt;&lt;author&gt;Lutzenberger, Werner&lt;/author&gt;&lt;author&gt;Berger, Hermann&lt;/author&gt;&lt;author&gt;Eckstein, Hans Henning&lt;/author&gt;&lt;/authors&gt;&lt;/contributors&gt;&lt;titles&gt;&lt;title&gt;Improvement of microcirculation after percutaneous transluminal angioplasty in the lower limb with prostaglandin E1&lt;/title&gt;&lt;secondary-title&gt;Prostaglandins &amp;amp; Other Lipid Mediators&lt;/secondary-title&gt;&lt;/titles&gt;&lt;periodical&gt;&lt;full-title&gt;Prostaglandins &amp;amp; Other Lipid Mediators&lt;/full-title&gt;&lt;/periodical&gt;&lt;pages&gt;23-30&lt;/pages&gt;&lt;volume&gt;88&lt;/volume&gt;&lt;number&gt;1-2&lt;/number&gt;&lt;dates&gt;&lt;year&gt;2008&lt;/year&gt;&lt;/dates&gt;&lt;urls&gt;&lt;/urls&gt;&lt;/record&gt;&lt;/Cite&gt;&lt;/EndNote&gt;</w:instrText>
      </w:r>
      <w:r>
        <w:rPr>
          <w:color w:val="000000"/>
        </w:rPr>
        <w:fldChar w:fldCharType="separate"/>
      </w:r>
      <w:r>
        <w:rPr>
          <w:noProof/>
          <w:color w:val="000000"/>
        </w:rPr>
        <w:t>[</w:t>
      </w:r>
      <w:hyperlink w:anchor="_ENREF_5" w:tooltip="Heider, 2008 #7" w:history="1">
        <w:r>
          <w:rPr>
            <w:noProof/>
            <w:color w:val="000000"/>
          </w:rPr>
          <w:t>5</w:t>
        </w:r>
      </w:hyperlink>
      <w:r>
        <w:rPr>
          <w:noProof/>
          <w:color w:val="000000"/>
        </w:rPr>
        <w:t>]</w:t>
      </w:r>
      <w:r>
        <w:rPr>
          <w:color w:val="000000"/>
        </w:rPr>
        <w:fldChar w:fldCharType="end"/>
      </w:r>
      <w:r>
        <w:rPr>
          <w:color w:val="000000"/>
        </w:rPr>
        <w:t>，</w:t>
      </w:r>
      <w:r>
        <w:rPr>
          <w:rFonts w:hint="eastAsia"/>
          <w:color w:val="000000"/>
        </w:rPr>
        <w:t>成为治疗</w:t>
      </w:r>
      <w:r>
        <w:rPr>
          <w:rFonts w:hint="eastAsia"/>
          <w:color w:val="000000"/>
        </w:rPr>
        <w:t>SAP</w:t>
      </w:r>
      <w:r>
        <w:rPr>
          <w:rFonts w:hint="eastAsia"/>
          <w:color w:val="000000"/>
        </w:rPr>
        <w:t>药物的重要选择之一。</w:t>
      </w:r>
      <w:r>
        <w:rPr>
          <w:rFonts w:hint="eastAsia"/>
        </w:rPr>
        <w:t>我院对部分</w:t>
      </w:r>
      <w:r>
        <w:rPr>
          <w:rFonts w:hint="eastAsia"/>
        </w:rPr>
        <w:t>SAP</w:t>
      </w:r>
      <w:r>
        <w:rPr>
          <w:rFonts w:hint="eastAsia"/>
        </w:rPr>
        <w:t>患者采用生长抑素联合前列地尔进行治疗，分析其疗效。</w:t>
      </w:r>
    </w:p>
    <w:p w14:paraId="7B135B79" w14:textId="77777777" w:rsidR="008505F4" w:rsidRPr="00172F15" w:rsidRDefault="008505F4" w:rsidP="008505F4">
      <w:pPr>
        <w:ind w:firstLine="435"/>
        <w:rPr>
          <w:rFonts w:hint="eastAsia"/>
        </w:rPr>
      </w:pPr>
    </w:p>
    <w:p w14:paraId="30A93C1A" w14:textId="77777777" w:rsidR="008505F4" w:rsidRDefault="008505F4" w:rsidP="008505F4">
      <w:pPr>
        <w:rPr>
          <w:rFonts w:hint="eastAsia"/>
          <w:b/>
          <w:bCs/>
        </w:rPr>
      </w:pPr>
      <w:r>
        <w:rPr>
          <w:rFonts w:hint="eastAsia"/>
          <w:b/>
          <w:bCs/>
        </w:rPr>
        <w:t>1</w:t>
      </w:r>
      <w:r>
        <w:rPr>
          <w:rFonts w:hint="eastAsia"/>
          <w:b/>
          <w:bCs/>
        </w:rPr>
        <w:t>资料与方法</w:t>
      </w:r>
      <w:r>
        <w:rPr>
          <w:rFonts w:hint="eastAsia"/>
        </w:rPr>
        <w:br/>
      </w:r>
      <w:r>
        <w:rPr>
          <w:rFonts w:hint="eastAsia"/>
          <w:b/>
          <w:bCs/>
        </w:rPr>
        <w:t>1</w:t>
      </w:r>
      <w:r>
        <w:rPr>
          <w:rFonts w:hint="eastAsia"/>
          <w:b/>
          <w:bCs/>
        </w:rPr>
        <w:t>．</w:t>
      </w:r>
      <w:r>
        <w:rPr>
          <w:rFonts w:hint="eastAsia"/>
          <w:b/>
          <w:bCs/>
        </w:rPr>
        <w:t xml:space="preserve">1 </w:t>
      </w:r>
      <w:r>
        <w:rPr>
          <w:rFonts w:hint="eastAsia"/>
          <w:b/>
          <w:bCs/>
        </w:rPr>
        <w:t>临床资料</w:t>
      </w:r>
    </w:p>
    <w:p w14:paraId="677370C2" w14:textId="77777777" w:rsidR="008505F4" w:rsidRDefault="008505F4" w:rsidP="008505F4">
      <w:pPr>
        <w:ind w:firstLine="420"/>
        <w:rPr>
          <w:rFonts w:hint="eastAsia"/>
          <w:bCs/>
        </w:rPr>
      </w:pPr>
      <w:r w:rsidRPr="009209E2">
        <w:rPr>
          <w:rFonts w:hint="eastAsia"/>
          <w:bCs/>
        </w:rPr>
        <w:t>在</w:t>
      </w:r>
      <w:r w:rsidRPr="009209E2">
        <w:rPr>
          <w:rFonts w:hint="eastAsia"/>
          <w:bCs/>
        </w:rPr>
        <w:t>2012</w:t>
      </w:r>
      <w:r w:rsidRPr="009209E2">
        <w:rPr>
          <w:rFonts w:hint="eastAsia"/>
          <w:bCs/>
        </w:rPr>
        <w:t>年</w:t>
      </w:r>
      <w:r w:rsidRPr="009209E2">
        <w:rPr>
          <w:rFonts w:hint="eastAsia"/>
          <w:bCs/>
        </w:rPr>
        <w:t>12</w:t>
      </w:r>
      <w:r w:rsidRPr="009209E2">
        <w:rPr>
          <w:rFonts w:hint="eastAsia"/>
          <w:bCs/>
        </w:rPr>
        <w:t>月到</w:t>
      </w:r>
      <w:r w:rsidRPr="009209E2">
        <w:rPr>
          <w:rFonts w:hint="eastAsia"/>
          <w:bCs/>
        </w:rPr>
        <w:t>2015</w:t>
      </w:r>
      <w:r w:rsidRPr="009209E2">
        <w:rPr>
          <w:rFonts w:hint="eastAsia"/>
          <w:bCs/>
        </w:rPr>
        <w:t>年</w:t>
      </w:r>
      <w:r w:rsidRPr="009209E2">
        <w:rPr>
          <w:rFonts w:hint="eastAsia"/>
          <w:bCs/>
        </w:rPr>
        <w:t>12</w:t>
      </w:r>
      <w:r w:rsidRPr="009209E2">
        <w:rPr>
          <w:rFonts w:hint="eastAsia"/>
          <w:bCs/>
        </w:rPr>
        <w:t>月期间，根据</w:t>
      </w:r>
      <w:r>
        <w:rPr>
          <w:rFonts w:hint="eastAsia"/>
          <w:bCs/>
        </w:rPr>
        <w:t>新</w:t>
      </w:r>
      <w:r w:rsidRPr="009209E2">
        <w:rPr>
          <w:rFonts w:hint="eastAsia"/>
          <w:bCs/>
        </w:rPr>
        <w:t>修订的亚特兰大标准</w:t>
      </w:r>
      <w:r w:rsidRPr="009209E2">
        <w:rPr>
          <w:bCs/>
        </w:rPr>
        <w:fldChar w:fldCharType="begin"/>
      </w:r>
      <w:r>
        <w:rPr>
          <w:bCs/>
        </w:rPr>
        <w:instrText xml:space="preserve"> ADDIN EN.CITE &lt;EndNote&gt;&lt;Cite&gt;&lt;Author&gt;Banks&lt;/Author&gt;&lt;Year&gt;2013&lt;/Year&gt;&lt;RecNum&gt;12&lt;/RecNum&gt;&lt;DisplayText&gt;[6]&lt;/DisplayText&gt;&lt;record&gt;&lt;rec-number&gt;12&lt;/rec-number&gt;&lt;foreign-keys&gt;&lt;key app="EN" db-id="fewtes0xoxd9pres5a1x50drpvxz0zpzavs0"&gt;12&lt;/key&gt;&lt;/foreign-keys&gt;&lt;ref-type name="Journal Article"&gt;17&lt;/ref-type&gt;&lt;contributors&gt;&lt;authors&gt;&lt;author&gt;Banks, Peter A&lt;/author&gt;&lt;author&gt;Bollen, Thomas L&lt;/author&gt;&lt;author&gt;Dervenis, Christos&lt;/author&gt;&lt;author&gt;Gooszen, Hein G&lt;/author&gt;&lt;author&gt;Johnson, Colin D&lt;/author&gt;&lt;author&gt;Sarr, Michael G&lt;/author&gt;&lt;author&gt;Tsiotos, Gregory G&lt;/author&gt;&lt;author&gt;Vege, Santhi Swaroop&lt;/author&gt;&lt;/authors&gt;&lt;/contributors&gt;&lt;titles&gt;&lt;title&gt;Classification of acute pancreatitis--2012: revision of the Atlanta classification and definitions by international consensus&lt;/title&gt;&lt;secondary-title&gt;Gut&lt;/secondary-title&gt;&lt;/titles&gt;&lt;periodical&gt;&lt;full-title&gt;Gut&lt;/full-title&gt;&lt;abbr-1&gt;Gut&lt;/abbr-1&gt;&lt;/periodical&gt;&lt;pages&gt;102-111&lt;/pages&gt;&lt;volume&gt;62&lt;/volume&gt;&lt;number&gt;1&lt;/number&gt;&lt;dates&gt;&lt;year&gt;2013&lt;/year&gt;&lt;/dates&gt;&lt;urls&gt;&lt;/urls&gt;&lt;/record&gt;&lt;/Cite&gt;&lt;/EndNote&gt;</w:instrText>
      </w:r>
      <w:r w:rsidRPr="009209E2">
        <w:rPr>
          <w:bCs/>
        </w:rPr>
        <w:fldChar w:fldCharType="separate"/>
      </w:r>
      <w:r>
        <w:rPr>
          <w:bCs/>
          <w:noProof/>
        </w:rPr>
        <w:t>[</w:t>
      </w:r>
      <w:hyperlink w:anchor="_ENREF_6" w:tooltip="Banks, 2013 #12" w:history="1">
        <w:r>
          <w:rPr>
            <w:bCs/>
            <w:noProof/>
          </w:rPr>
          <w:t>6</w:t>
        </w:r>
      </w:hyperlink>
      <w:r>
        <w:rPr>
          <w:bCs/>
          <w:noProof/>
        </w:rPr>
        <w:t>]</w:t>
      </w:r>
      <w:r w:rsidRPr="009209E2">
        <w:rPr>
          <w:bCs/>
        </w:rPr>
        <w:fldChar w:fldCharType="end"/>
      </w:r>
      <w:r w:rsidRPr="009209E2">
        <w:rPr>
          <w:rFonts w:hint="eastAsia"/>
          <w:bCs/>
        </w:rPr>
        <w:t>，将在德阳人民医院收治并诊断为</w:t>
      </w:r>
      <w:r w:rsidRPr="009209E2">
        <w:rPr>
          <w:rFonts w:hint="eastAsia"/>
          <w:bCs/>
        </w:rPr>
        <w:t>SAP</w:t>
      </w:r>
      <w:r w:rsidRPr="009209E2">
        <w:rPr>
          <w:rFonts w:hint="eastAsia"/>
          <w:bCs/>
        </w:rPr>
        <w:t>的</w:t>
      </w:r>
      <w:r w:rsidRPr="009209E2">
        <w:rPr>
          <w:rFonts w:hint="eastAsia"/>
          <w:bCs/>
        </w:rPr>
        <w:t>64</w:t>
      </w:r>
      <w:r w:rsidRPr="009209E2">
        <w:rPr>
          <w:rFonts w:hint="eastAsia"/>
          <w:bCs/>
        </w:rPr>
        <w:t>例患者按照随机数字表分为两组</w:t>
      </w:r>
      <w:r w:rsidRPr="009209E2">
        <w:rPr>
          <w:rFonts w:hint="eastAsia"/>
          <w:bCs/>
        </w:rPr>
        <w:t xml:space="preserve">: </w:t>
      </w:r>
      <w:r w:rsidRPr="009209E2">
        <w:rPr>
          <w:rFonts w:hint="eastAsia"/>
          <w:bCs/>
        </w:rPr>
        <w:t>单用生长抑素治疗</w:t>
      </w:r>
      <w:r w:rsidRPr="009209E2">
        <w:rPr>
          <w:rFonts w:hint="eastAsia"/>
          <w:bCs/>
        </w:rPr>
        <w:t>32</w:t>
      </w:r>
      <w:r w:rsidRPr="009209E2">
        <w:rPr>
          <w:rFonts w:hint="eastAsia"/>
          <w:bCs/>
        </w:rPr>
        <w:t>例</w:t>
      </w:r>
      <w:r>
        <w:rPr>
          <w:rFonts w:hint="eastAsia"/>
          <w:bCs/>
        </w:rPr>
        <w:t>，即</w:t>
      </w:r>
      <w:r w:rsidRPr="009209E2">
        <w:rPr>
          <w:rFonts w:hint="eastAsia"/>
          <w:bCs/>
        </w:rPr>
        <w:t>对照组</w:t>
      </w:r>
      <w:r w:rsidRPr="009209E2">
        <w:rPr>
          <w:rFonts w:hint="eastAsia"/>
          <w:bCs/>
        </w:rPr>
        <w:t xml:space="preserve">; </w:t>
      </w:r>
      <w:r w:rsidRPr="009209E2">
        <w:rPr>
          <w:rFonts w:hint="eastAsia"/>
          <w:bCs/>
        </w:rPr>
        <w:t>采用生长抑素联合前列地</w:t>
      </w:r>
      <w:proofErr w:type="gramStart"/>
      <w:r w:rsidRPr="009209E2">
        <w:rPr>
          <w:rFonts w:hint="eastAsia"/>
          <w:bCs/>
        </w:rPr>
        <w:t>尔治疗</w:t>
      </w:r>
      <w:proofErr w:type="gramEnd"/>
      <w:r w:rsidRPr="009209E2">
        <w:rPr>
          <w:rFonts w:hint="eastAsia"/>
          <w:bCs/>
        </w:rPr>
        <w:t>32</w:t>
      </w:r>
      <w:r w:rsidRPr="009209E2">
        <w:rPr>
          <w:rFonts w:hint="eastAsia"/>
          <w:bCs/>
        </w:rPr>
        <w:t>例</w:t>
      </w:r>
      <w:r>
        <w:rPr>
          <w:rFonts w:hint="eastAsia"/>
          <w:bCs/>
        </w:rPr>
        <w:t>，即</w:t>
      </w:r>
      <w:r w:rsidRPr="009209E2">
        <w:rPr>
          <w:rFonts w:hint="eastAsia"/>
          <w:bCs/>
        </w:rPr>
        <w:t>联合组</w:t>
      </w:r>
      <w:r w:rsidRPr="009209E2">
        <w:rPr>
          <w:rFonts w:hint="eastAsia"/>
          <w:bCs/>
        </w:rPr>
        <w:t xml:space="preserve">. </w:t>
      </w:r>
      <w:r w:rsidRPr="009209E2">
        <w:rPr>
          <w:rFonts w:hint="eastAsia"/>
          <w:bCs/>
        </w:rPr>
        <w:t>对照组患者平均</w:t>
      </w:r>
      <w:r>
        <w:rPr>
          <w:rFonts w:hint="eastAsia"/>
          <w:bCs/>
        </w:rPr>
        <w:t>年龄</w:t>
      </w:r>
      <w:r w:rsidRPr="009209E2">
        <w:rPr>
          <w:rFonts w:hint="eastAsia"/>
          <w:bCs/>
        </w:rPr>
        <w:t>57.2</w:t>
      </w:r>
      <w:r w:rsidRPr="009209E2">
        <w:rPr>
          <w:rFonts w:hint="eastAsia"/>
          <w:bCs/>
        </w:rPr>
        <w:t>±</w:t>
      </w:r>
      <w:r w:rsidRPr="009209E2">
        <w:rPr>
          <w:rFonts w:hint="eastAsia"/>
          <w:bCs/>
        </w:rPr>
        <w:t>9.6</w:t>
      </w:r>
      <w:r w:rsidRPr="007D5951">
        <w:rPr>
          <w:rFonts w:hint="eastAsia"/>
          <w:bCs/>
        </w:rPr>
        <w:t>岁</w:t>
      </w:r>
      <w:r>
        <w:rPr>
          <w:rFonts w:hint="eastAsia"/>
          <w:bCs/>
        </w:rPr>
        <w:t>，其中</w:t>
      </w:r>
      <w:r w:rsidRPr="009209E2">
        <w:rPr>
          <w:rFonts w:hint="eastAsia"/>
          <w:bCs/>
        </w:rPr>
        <w:t>男</w:t>
      </w:r>
      <w:r>
        <w:rPr>
          <w:rFonts w:hint="eastAsia"/>
          <w:bCs/>
        </w:rPr>
        <w:t>性患者</w:t>
      </w:r>
      <w:r w:rsidRPr="009209E2">
        <w:rPr>
          <w:rFonts w:hint="eastAsia"/>
          <w:bCs/>
        </w:rPr>
        <w:t>19</w:t>
      </w:r>
      <w:r>
        <w:rPr>
          <w:rFonts w:hint="eastAsia"/>
          <w:bCs/>
        </w:rPr>
        <w:t>例</w:t>
      </w:r>
      <w:r w:rsidRPr="007D5951">
        <w:rPr>
          <w:rFonts w:hint="eastAsia"/>
          <w:bCs/>
        </w:rPr>
        <w:t>；</w:t>
      </w:r>
      <w:r>
        <w:rPr>
          <w:rFonts w:hint="eastAsia"/>
          <w:bCs/>
        </w:rPr>
        <w:t>联合组</w:t>
      </w:r>
      <w:r w:rsidRPr="009209E2">
        <w:rPr>
          <w:rFonts w:hint="eastAsia"/>
          <w:bCs/>
        </w:rPr>
        <w:t>患者平均</w:t>
      </w:r>
      <w:r>
        <w:rPr>
          <w:rFonts w:hint="eastAsia"/>
          <w:bCs/>
        </w:rPr>
        <w:t>年龄</w:t>
      </w:r>
      <w:r w:rsidRPr="009209E2">
        <w:rPr>
          <w:rFonts w:hint="eastAsia"/>
          <w:bCs/>
        </w:rPr>
        <w:t>56.0</w:t>
      </w:r>
      <w:r w:rsidRPr="009209E2">
        <w:rPr>
          <w:rFonts w:hint="eastAsia"/>
          <w:bCs/>
        </w:rPr>
        <w:t>±</w:t>
      </w:r>
      <w:r w:rsidRPr="009209E2">
        <w:rPr>
          <w:rFonts w:hint="eastAsia"/>
          <w:bCs/>
        </w:rPr>
        <w:t>10.1</w:t>
      </w:r>
      <w:r w:rsidRPr="009209E2">
        <w:rPr>
          <w:rFonts w:hint="eastAsia"/>
          <w:bCs/>
        </w:rPr>
        <w:t>岁</w:t>
      </w:r>
      <w:r>
        <w:rPr>
          <w:rFonts w:hint="eastAsia"/>
          <w:bCs/>
        </w:rPr>
        <w:t>，其中男性患者</w:t>
      </w:r>
      <w:r>
        <w:rPr>
          <w:rFonts w:hint="eastAsia"/>
          <w:bCs/>
        </w:rPr>
        <w:t>17</w:t>
      </w:r>
      <w:r>
        <w:rPr>
          <w:rFonts w:hint="eastAsia"/>
          <w:bCs/>
        </w:rPr>
        <w:t>例</w:t>
      </w:r>
      <w:r w:rsidRPr="009209E2">
        <w:rPr>
          <w:rFonts w:hint="eastAsia"/>
          <w:bCs/>
        </w:rPr>
        <w:t>；两组患者在年龄、性别以及急性生理与慢性健康Ⅱ</w:t>
      </w:r>
      <w:r w:rsidRPr="009209E2">
        <w:rPr>
          <w:rFonts w:hint="eastAsia"/>
          <w:bCs/>
        </w:rPr>
        <w:t xml:space="preserve">(acute physiology and chronic health evaluation </w:t>
      </w:r>
      <w:r w:rsidRPr="009209E2">
        <w:rPr>
          <w:rFonts w:hint="eastAsia"/>
          <w:bCs/>
        </w:rPr>
        <w:t>Ⅱ</w:t>
      </w:r>
      <w:r w:rsidRPr="009209E2">
        <w:rPr>
          <w:rFonts w:hint="eastAsia"/>
          <w:bCs/>
        </w:rPr>
        <w:t>, APACHE</w:t>
      </w:r>
      <w:r w:rsidRPr="009209E2">
        <w:rPr>
          <w:rFonts w:hint="eastAsia"/>
          <w:bCs/>
        </w:rPr>
        <w:t>Ⅱ</w:t>
      </w:r>
      <w:r w:rsidRPr="009209E2">
        <w:rPr>
          <w:rFonts w:hint="eastAsia"/>
          <w:bCs/>
        </w:rPr>
        <w:t>)</w:t>
      </w:r>
      <w:r w:rsidRPr="009209E2">
        <w:rPr>
          <w:rFonts w:hint="eastAsia"/>
          <w:bCs/>
        </w:rPr>
        <w:t>评分</w:t>
      </w:r>
      <w:r>
        <w:rPr>
          <w:bCs/>
        </w:rPr>
        <w:fldChar w:fldCharType="begin"/>
      </w:r>
      <w:r>
        <w:rPr>
          <w:bCs/>
        </w:rPr>
        <w:instrText xml:space="preserve"> ADDIN EN.CITE &lt;EndNote&gt;&lt;Cite&gt;&lt;Author&gt;Knaus&lt;/Author&gt;&lt;Year&gt;1985&lt;/Year&gt;&lt;RecNum&gt;13&lt;/RecNum&gt;&lt;DisplayText&gt;[7]&lt;/DisplayText&gt;&lt;record&gt;&lt;rec-number&gt;13&lt;/rec-number&gt;&lt;foreign-keys&gt;&lt;key app="EN" db-id="fewtes0xoxd9pres5a1x50drpvxz0zpzavs0"&gt;13&lt;/key&gt;&lt;/foreign-keys&gt;&lt;ref-type name="Journal Article"&gt;17&lt;/ref-type&gt;&lt;contributors&gt;&lt;authors&gt;&lt;author&gt;Knaus, W A,&lt;/author&gt;&lt;author&gt;Draper, E A,&lt;/author&gt;&lt;author&gt;Wagner, D P,&lt;/author&gt;&lt;author&gt;Zimmerman, J E,&lt;/author&gt;&lt;/authors&gt;&lt;/contributors&gt;&lt;titles&gt;&lt;title&gt;APACHE II: a severity of disease classification system&lt;/title&gt;&lt;secondary-title&gt;Critical Care Medicine&lt;/secondary-title&gt;&lt;/titles&gt;&lt;periodical&gt;&lt;full-title&gt;Critical Care Medicine&lt;/full-title&gt;&lt;/periodical&gt;&lt;pages&gt;818-829&lt;/pages&gt;&lt;volume&gt;13&lt;/volume&gt;&lt;number&gt;10&lt;/number&gt;&lt;dates&gt;&lt;year&gt;1985&lt;/year&gt;&lt;/dates&gt;&lt;urls&gt;&lt;/urls&gt;&lt;/record&gt;&lt;/Cite&gt;&lt;/EndNote&gt;</w:instrText>
      </w:r>
      <w:r>
        <w:rPr>
          <w:bCs/>
        </w:rPr>
        <w:fldChar w:fldCharType="separate"/>
      </w:r>
      <w:r>
        <w:rPr>
          <w:bCs/>
          <w:noProof/>
        </w:rPr>
        <w:t>[</w:t>
      </w:r>
      <w:hyperlink w:anchor="_ENREF_7" w:tooltip="Knaus, 1985 #13" w:history="1">
        <w:r>
          <w:rPr>
            <w:bCs/>
            <w:noProof/>
          </w:rPr>
          <w:t>7</w:t>
        </w:r>
      </w:hyperlink>
      <w:r>
        <w:rPr>
          <w:bCs/>
          <w:noProof/>
        </w:rPr>
        <w:t>]</w:t>
      </w:r>
      <w:r>
        <w:rPr>
          <w:bCs/>
        </w:rPr>
        <w:fldChar w:fldCharType="end"/>
      </w:r>
      <w:r w:rsidRPr="009209E2">
        <w:rPr>
          <w:rFonts w:hint="eastAsia"/>
          <w:bCs/>
        </w:rPr>
        <w:t>、</w:t>
      </w:r>
      <w:r w:rsidRPr="009209E2">
        <w:rPr>
          <w:rFonts w:hint="eastAsia"/>
          <w:bCs/>
        </w:rPr>
        <w:t xml:space="preserve"> CT</w:t>
      </w:r>
      <w:r w:rsidRPr="009209E2">
        <w:rPr>
          <w:rFonts w:hint="eastAsia"/>
          <w:bCs/>
        </w:rPr>
        <w:t>严重指数</w:t>
      </w:r>
      <w:r w:rsidRPr="009209E2">
        <w:rPr>
          <w:rFonts w:hint="eastAsia"/>
          <w:bCs/>
        </w:rPr>
        <w:t>(CT severity index, CTSI)</w:t>
      </w:r>
      <w:r w:rsidRPr="009209E2">
        <w:rPr>
          <w:rFonts w:hint="eastAsia"/>
          <w:bCs/>
        </w:rPr>
        <w:t>评分</w:t>
      </w:r>
      <w:r>
        <w:rPr>
          <w:bCs/>
        </w:rPr>
        <w:fldChar w:fldCharType="begin"/>
      </w:r>
      <w:r>
        <w:rPr>
          <w:bCs/>
        </w:rPr>
        <w:instrText xml:space="preserve"> ADDIN EN.CITE &lt;EndNote&gt;&lt;Cite&gt;&lt;Author&gt;Balthazar&lt;/Author&gt;&lt;Year&gt;1990&lt;/Year&gt;&lt;RecNum&gt;14&lt;/RecNum&gt;&lt;DisplayText&gt;[8]&lt;/DisplayText&gt;&lt;record&gt;&lt;rec-number&gt;14&lt;/rec-number&gt;&lt;foreign-keys&gt;&lt;key app="EN" db-id="fewtes0xoxd9pres5a1x50drpvxz0zpzavs0"&gt;14&lt;/key&gt;&lt;/foreign-keys&gt;&lt;ref-type name="Journal Article"&gt;17&lt;/ref-type&gt;&lt;contributors&gt;&lt;authors&gt;&lt;author&gt;Balthazar, E J,&lt;/author&gt;&lt;author&gt;Robinson, D L,&lt;/author&gt;&lt;author&gt;Megibow, A J,&lt;/author&gt;&lt;author&gt;Ranson, J H,&lt;/author&gt;&lt;/authors&gt;&lt;/contributors&gt;&lt;titles&gt;&lt;title&gt;Acute pancreatitis: value of CT in establishing prognosis&lt;/title&gt;&lt;secondary-title&gt;Radiology&lt;/secondary-title&gt;&lt;/titles&gt;&lt;periodical&gt;&lt;full-title&gt;Radiology&lt;/full-title&gt;&lt;/periodical&gt;&lt;pages&gt;331-6&lt;/pages&gt;&lt;volume&gt;174&lt;/volume&gt;&lt;number&gt;2&lt;/number&gt;&lt;dates&gt;&lt;year&gt;1990&lt;/year&gt;&lt;/dates&gt;&lt;urls&gt;&lt;/urls&gt;&lt;/record&gt;&lt;/Cite&gt;&lt;/EndNote&gt;</w:instrText>
      </w:r>
      <w:r>
        <w:rPr>
          <w:bCs/>
        </w:rPr>
        <w:fldChar w:fldCharType="separate"/>
      </w:r>
      <w:r>
        <w:rPr>
          <w:bCs/>
          <w:noProof/>
        </w:rPr>
        <w:t>[</w:t>
      </w:r>
      <w:hyperlink w:anchor="_ENREF_8" w:tooltip="Balthazar, 1990 #14" w:history="1">
        <w:r>
          <w:rPr>
            <w:bCs/>
            <w:noProof/>
          </w:rPr>
          <w:t>8</w:t>
        </w:r>
      </w:hyperlink>
      <w:r>
        <w:rPr>
          <w:bCs/>
          <w:noProof/>
        </w:rPr>
        <w:t>]</w:t>
      </w:r>
      <w:r>
        <w:rPr>
          <w:bCs/>
        </w:rPr>
        <w:fldChar w:fldCharType="end"/>
      </w:r>
      <w:r w:rsidRPr="009209E2">
        <w:rPr>
          <w:rFonts w:hint="eastAsia"/>
          <w:bCs/>
        </w:rPr>
        <w:t>方面</w:t>
      </w:r>
      <w:r w:rsidRPr="009209E2">
        <w:rPr>
          <w:rFonts w:hint="eastAsia"/>
          <w:bCs/>
        </w:rPr>
        <w:t>2</w:t>
      </w:r>
      <w:r w:rsidRPr="009209E2">
        <w:rPr>
          <w:rFonts w:hint="eastAsia"/>
          <w:bCs/>
        </w:rPr>
        <w:t>组差异均无统计学意义</w:t>
      </w:r>
      <w:r w:rsidRPr="009209E2">
        <w:rPr>
          <w:rFonts w:hint="eastAsia"/>
          <w:bCs/>
        </w:rPr>
        <w:t>(</w:t>
      </w:r>
      <w:r w:rsidRPr="009209E2">
        <w:rPr>
          <w:bCs/>
        </w:rPr>
        <w:t>P &gt;0.05</w:t>
      </w:r>
      <w:r w:rsidRPr="009209E2">
        <w:rPr>
          <w:rFonts w:hint="eastAsia"/>
          <w:bCs/>
        </w:rPr>
        <w:t xml:space="preserve">), </w:t>
      </w:r>
      <w:r w:rsidRPr="009209E2">
        <w:rPr>
          <w:rFonts w:hint="eastAsia"/>
          <w:bCs/>
        </w:rPr>
        <w:t>所有入选病例均无严重基础疾病</w:t>
      </w:r>
      <w:r w:rsidRPr="009209E2">
        <w:rPr>
          <w:rFonts w:hint="eastAsia"/>
          <w:bCs/>
        </w:rPr>
        <w:t xml:space="preserve">, </w:t>
      </w:r>
      <w:r w:rsidRPr="009209E2">
        <w:rPr>
          <w:rFonts w:hint="eastAsia"/>
          <w:bCs/>
        </w:rPr>
        <w:t>女性为非哺乳期、</w:t>
      </w:r>
      <w:r w:rsidRPr="009209E2">
        <w:rPr>
          <w:rFonts w:hint="eastAsia"/>
          <w:bCs/>
        </w:rPr>
        <w:t xml:space="preserve"> </w:t>
      </w:r>
      <w:r w:rsidRPr="009209E2">
        <w:rPr>
          <w:rFonts w:hint="eastAsia"/>
          <w:bCs/>
        </w:rPr>
        <w:t>非孕产妇</w:t>
      </w:r>
      <w:r w:rsidRPr="009209E2">
        <w:rPr>
          <w:rFonts w:hint="eastAsia"/>
          <w:bCs/>
        </w:rPr>
        <w:t>.</w:t>
      </w:r>
    </w:p>
    <w:p w14:paraId="52B9AEF9" w14:textId="77777777" w:rsidR="008505F4" w:rsidRPr="007D5951" w:rsidRDefault="008505F4" w:rsidP="008505F4">
      <w:pPr>
        <w:ind w:firstLine="420"/>
        <w:rPr>
          <w:rFonts w:hint="eastAsia"/>
        </w:rPr>
      </w:pPr>
    </w:p>
    <w:p w14:paraId="387A60E5" w14:textId="77777777" w:rsidR="008505F4" w:rsidRDefault="008505F4" w:rsidP="008505F4">
      <w:pPr>
        <w:rPr>
          <w:rFonts w:hint="eastAsia"/>
        </w:rPr>
      </w:pPr>
      <w:r>
        <w:rPr>
          <w:rFonts w:hint="eastAsia"/>
          <w:b/>
          <w:bCs/>
        </w:rPr>
        <w:t>1</w:t>
      </w:r>
      <w:r>
        <w:rPr>
          <w:rFonts w:hint="eastAsia"/>
          <w:b/>
          <w:bCs/>
        </w:rPr>
        <w:t>．</w:t>
      </w:r>
      <w:r>
        <w:rPr>
          <w:rFonts w:hint="eastAsia"/>
          <w:b/>
          <w:bCs/>
        </w:rPr>
        <w:t xml:space="preserve">2 </w:t>
      </w:r>
      <w:r>
        <w:rPr>
          <w:rFonts w:hint="eastAsia"/>
          <w:b/>
          <w:bCs/>
        </w:rPr>
        <w:t>治疗方法</w:t>
      </w:r>
    </w:p>
    <w:p w14:paraId="49E4143F" w14:textId="77777777" w:rsidR="008505F4" w:rsidRDefault="008505F4" w:rsidP="008505F4">
      <w:pPr>
        <w:ind w:firstLineChars="300" w:firstLine="720"/>
        <w:rPr>
          <w:rFonts w:hint="eastAsia"/>
          <w:b/>
          <w:bCs/>
        </w:rPr>
      </w:pPr>
      <w:r>
        <w:rPr>
          <w:rFonts w:hint="eastAsia"/>
        </w:rPr>
        <w:t>两组患者入院后均给予禁食、解</w:t>
      </w:r>
      <w:proofErr w:type="gramStart"/>
      <w:r>
        <w:rPr>
          <w:rFonts w:hint="eastAsia"/>
        </w:rPr>
        <w:t>痉</w:t>
      </w:r>
      <w:proofErr w:type="gramEnd"/>
      <w:r>
        <w:rPr>
          <w:rFonts w:hint="eastAsia"/>
        </w:rPr>
        <w:t>止痛、胃肠减压、液体复苏、</w:t>
      </w:r>
      <w:r w:rsidRPr="000C4D15">
        <w:rPr>
          <w:rFonts w:hint="eastAsia"/>
        </w:rPr>
        <w:t>抑酸</w:t>
      </w:r>
      <w:r>
        <w:rPr>
          <w:rFonts w:hint="eastAsia"/>
        </w:rPr>
        <w:t>、抗感染、营养支持等治疗</w:t>
      </w:r>
      <w:r>
        <w:rPr>
          <w:rFonts w:hint="eastAsia"/>
        </w:rPr>
        <w:t xml:space="preserve">, </w:t>
      </w:r>
      <w:r>
        <w:rPr>
          <w:rFonts w:hint="eastAsia"/>
        </w:rPr>
        <w:t>有胆总管结石、胆管炎、</w:t>
      </w:r>
      <w:r>
        <w:rPr>
          <w:rFonts w:hint="eastAsia"/>
        </w:rPr>
        <w:t xml:space="preserve"> </w:t>
      </w:r>
      <w:r>
        <w:rPr>
          <w:rFonts w:hint="eastAsia"/>
        </w:rPr>
        <w:t>进行性梗阻性黄疸的患者入院</w:t>
      </w:r>
      <w:r>
        <w:rPr>
          <w:rFonts w:hint="eastAsia"/>
        </w:rPr>
        <w:t>24</w:t>
      </w:r>
      <w:r>
        <w:rPr>
          <w:rFonts w:hint="eastAsia"/>
        </w:rPr>
        <w:t>小时内行经内镜逆行胰胆管造影下取石术或鼻胆管引流术</w:t>
      </w:r>
      <w:r>
        <w:fldChar w:fldCharType="begin"/>
      </w:r>
      <w:r>
        <w:rPr>
          <w:rFonts w:hint="eastAsia"/>
        </w:rPr>
        <w:instrText xml:space="preserve"> ADDIN EN.CITE &lt;EndNote&gt;&lt;Cite&gt;&lt;Author&gt;</w:instrText>
      </w:r>
      <w:r>
        <w:rPr>
          <w:rFonts w:hint="eastAsia"/>
        </w:rPr>
        <w:instrText>中华医学会消化病学分会胰腺疾病学组</w:instrText>
      </w:r>
      <w:r>
        <w:rPr>
          <w:rFonts w:hint="eastAsia"/>
        </w:rPr>
        <w:instrText>&lt;/Author&gt;&lt;Year&gt;2013&lt;/Year&gt;&lt;RecNum&gt;15&lt;/RecNum&gt;&lt;DisplayText&gt;[9]&lt;/DisplayText&gt;&lt;record&gt;&lt;rec-number&gt;15&lt;/rec-number&gt;&lt;foreign-keys&gt;&lt;key app="EN" db-id="fewtes0xoxd9pres5a1x50drpvxz0zpzavs0"&gt;15&lt;/key&gt;&lt;/foreign-keys&gt;&lt;ref-type name="Journal Article"&gt;17&lt;/ref-type&gt;&lt;contributors&gt;&lt;authors&gt;&lt;author&gt;</w:instrText>
      </w:r>
      <w:r>
        <w:rPr>
          <w:rFonts w:hint="eastAsia"/>
        </w:rPr>
        <w:instrText>中华医学会消化病学分会胰腺疾病学组</w:instrText>
      </w:r>
      <w:r>
        <w:rPr>
          <w:rFonts w:hint="eastAsia"/>
        </w:rPr>
        <w:instrText>&lt;/author&gt;&lt;/authors&gt;&lt;/contributors&gt;&lt;titles&gt;&lt;title&gt;</w:instrText>
      </w:r>
      <w:r>
        <w:rPr>
          <w:rFonts w:hint="eastAsia"/>
        </w:rPr>
        <w:instrText>中国急性胰腺炎诊治指南</w:instrText>
      </w:r>
      <w:r>
        <w:rPr>
          <w:rFonts w:hint="eastAsia"/>
        </w:rPr>
        <w:instrText>(2013</w:instrText>
      </w:r>
      <w:r>
        <w:rPr>
          <w:rFonts w:hint="eastAsia"/>
        </w:rPr>
        <w:instrText>年</w:instrText>
      </w:r>
      <w:r>
        <w:rPr>
          <w:rFonts w:hint="eastAsia"/>
        </w:rPr>
        <w:instrText>,</w:instrText>
      </w:r>
      <w:r>
        <w:rPr>
          <w:rFonts w:hint="eastAsia"/>
        </w:rPr>
        <w:instrText>上海</w:instrText>
      </w:r>
      <w:r>
        <w:rPr>
          <w:rFonts w:hint="eastAsia"/>
        </w:rPr>
        <w:instrText>)&lt;/title&gt;&lt;secondary-title&gt;</w:instrText>
      </w:r>
      <w:r>
        <w:rPr>
          <w:rFonts w:hint="eastAsia"/>
        </w:rPr>
        <w:instrText>中国实用内科杂志</w:instrText>
      </w:r>
      <w:r>
        <w:rPr>
          <w:rFonts w:hint="eastAsia"/>
        </w:rPr>
        <w:instrText>&lt;/secondary-title&gt;&lt;/titles&gt;&lt;periodical&gt;&lt;full-title&gt;</w:instrText>
      </w:r>
      <w:r>
        <w:rPr>
          <w:rFonts w:hint="eastAsia"/>
        </w:rPr>
        <w:instrText>中国实用内科杂志</w:instrText>
      </w:r>
      <w:r>
        <w:rPr>
          <w:rFonts w:hint="eastAsia"/>
        </w:rPr>
        <w:instrText>&lt;/full-title&gt;&lt;/periodical&gt;&lt;pages&gt;530-535&lt;/pages&gt;&lt;volume&gt;29&lt;/volume&gt;&lt;number&gt;9&lt;/number&gt;&lt;dates&gt;&lt;year&gt;2013&lt;/year&gt;&lt;/dates&gt;&lt;urls&gt;&lt;/urls&gt;&lt;/record&gt;&lt;/Cite&gt;&lt;/EndNote&gt;</w:instrText>
      </w:r>
      <w:r>
        <w:fldChar w:fldCharType="separate"/>
      </w:r>
      <w:r>
        <w:rPr>
          <w:noProof/>
        </w:rPr>
        <w:t>[</w:t>
      </w:r>
      <w:hyperlink w:anchor="_ENREF_9" w:tooltip="中华医学会消化病学分会胰腺疾病学组, 2013 #15" w:history="1">
        <w:r>
          <w:rPr>
            <w:noProof/>
          </w:rPr>
          <w:t>9</w:t>
        </w:r>
      </w:hyperlink>
      <w:r>
        <w:rPr>
          <w:noProof/>
        </w:rPr>
        <w:t>]</w:t>
      </w:r>
      <w:r>
        <w:fldChar w:fldCharType="end"/>
      </w:r>
      <w:r>
        <w:rPr>
          <w:rFonts w:hint="eastAsia"/>
        </w:rPr>
        <w:t xml:space="preserve">. </w:t>
      </w:r>
      <w:r>
        <w:rPr>
          <w:rFonts w:hint="eastAsia"/>
        </w:rPr>
        <w:t>对照组在上述治疗基础上加用生长抑素</w:t>
      </w:r>
      <w:r>
        <w:rPr>
          <w:rFonts w:hint="eastAsia"/>
        </w:rPr>
        <w:t>6 mg, 24 h</w:t>
      </w:r>
      <w:r>
        <w:rPr>
          <w:rFonts w:hint="eastAsia"/>
        </w:rPr>
        <w:t>持续泵入</w:t>
      </w:r>
      <w:r>
        <w:rPr>
          <w:rFonts w:hint="eastAsia"/>
        </w:rPr>
        <w:t xml:space="preserve">. </w:t>
      </w:r>
      <w:r>
        <w:rPr>
          <w:rFonts w:hint="eastAsia"/>
        </w:rPr>
        <w:t>联合组在上述治疗基础上给予生长抑素</w:t>
      </w:r>
      <w:r>
        <w:rPr>
          <w:rFonts w:hint="eastAsia"/>
        </w:rPr>
        <w:t>6 mg, 24 h</w:t>
      </w:r>
      <w:r>
        <w:rPr>
          <w:rFonts w:hint="eastAsia"/>
        </w:rPr>
        <w:t>持续泵入</w:t>
      </w:r>
      <w:r>
        <w:rPr>
          <w:rFonts w:hint="eastAsia"/>
        </w:rPr>
        <w:t xml:space="preserve">, </w:t>
      </w:r>
      <w:r>
        <w:rPr>
          <w:rFonts w:hint="eastAsia"/>
        </w:rPr>
        <w:t>并给予前列地尔</w:t>
      </w:r>
      <w:r>
        <w:rPr>
          <w:rFonts w:hint="eastAsia"/>
        </w:rPr>
        <w:t>20 µg</w:t>
      </w:r>
      <w:r>
        <w:rPr>
          <w:rFonts w:hint="eastAsia"/>
        </w:rPr>
        <w:t>加入生理盐水</w:t>
      </w:r>
      <w:r>
        <w:rPr>
          <w:rFonts w:hint="eastAsia"/>
        </w:rPr>
        <w:t>100 mL</w:t>
      </w:r>
      <w:r>
        <w:rPr>
          <w:rFonts w:hint="eastAsia"/>
        </w:rPr>
        <w:t>快</w:t>
      </w:r>
      <w:r>
        <w:rPr>
          <w:rFonts w:hint="eastAsia"/>
        </w:rPr>
        <w:lastRenderedPageBreak/>
        <w:t>速静脉滴注</w:t>
      </w:r>
      <w:r>
        <w:rPr>
          <w:rFonts w:hint="eastAsia"/>
        </w:rPr>
        <w:t>,1</w:t>
      </w:r>
      <w:r>
        <w:rPr>
          <w:rFonts w:hint="eastAsia"/>
        </w:rPr>
        <w:t>次</w:t>
      </w:r>
      <w:r>
        <w:rPr>
          <w:rFonts w:hint="eastAsia"/>
        </w:rPr>
        <w:t xml:space="preserve">/d, </w:t>
      </w:r>
      <w:r>
        <w:rPr>
          <w:rFonts w:hint="eastAsia"/>
        </w:rPr>
        <w:t>连续</w:t>
      </w:r>
      <w:r>
        <w:rPr>
          <w:rFonts w:hint="eastAsia"/>
        </w:rPr>
        <w:t xml:space="preserve">7 d. </w:t>
      </w:r>
      <w:r>
        <w:rPr>
          <w:rFonts w:hint="eastAsia"/>
        </w:rPr>
        <w:t>若确诊为坏死胰腺组织继发感染和</w:t>
      </w:r>
      <w:r>
        <w:rPr>
          <w:rFonts w:hint="eastAsia"/>
        </w:rPr>
        <w:t>/</w:t>
      </w:r>
      <w:r>
        <w:rPr>
          <w:rFonts w:hint="eastAsia"/>
        </w:rPr>
        <w:t>或腹腔间隔室综合征时则转外科行手术治疗。</w:t>
      </w:r>
      <w:r>
        <w:rPr>
          <w:rFonts w:hint="eastAsia"/>
          <w:b/>
          <w:bCs/>
        </w:rPr>
        <w:t>1</w:t>
      </w:r>
      <w:r>
        <w:rPr>
          <w:rFonts w:hint="eastAsia"/>
          <w:b/>
          <w:bCs/>
        </w:rPr>
        <w:t>．</w:t>
      </w:r>
      <w:r>
        <w:rPr>
          <w:rFonts w:hint="eastAsia"/>
          <w:b/>
          <w:bCs/>
        </w:rPr>
        <w:t>3</w:t>
      </w:r>
      <w:r>
        <w:rPr>
          <w:rFonts w:hint="eastAsia"/>
          <w:b/>
          <w:bCs/>
        </w:rPr>
        <w:t>统计学方法</w:t>
      </w:r>
    </w:p>
    <w:p w14:paraId="4DE993AC" w14:textId="77777777" w:rsidR="008505F4" w:rsidRDefault="008505F4" w:rsidP="008505F4">
      <w:pPr>
        <w:ind w:firstLine="435"/>
        <w:rPr>
          <w:rFonts w:hint="eastAsia"/>
        </w:rPr>
      </w:pPr>
      <w:r>
        <w:rPr>
          <w:rFonts w:hint="eastAsia"/>
        </w:rPr>
        <w:t>统计学资料采用</w:t>
      </w:r>
      <w:r>
        <w:rPr>
          <w:rFonts w:hint="eastAsia"/>
        </w:rPr>
        <w:t>SPSS l8.0</w:t>
      </w:r>
      <w:r>
        <w:rPr>
          <w:rFonts w:hint="eastAsia"/>
        </w:rPr>
        <w:t>软件进行数据分析，计量资料用</w:t>
      </w:r>
      <w:r>
        <w:rPr>
          <w:rFonts w:hint="eastAsia"/>
        </w:rPr>
        <w:t>mean</w:t>
      </w:r>
      <w:r>
        <w:rPr>
          <w:rFonts w:hint="eastAsia"/>
        </w:rPr>
        <w:t>±</w:t>
      </w:r>
      <w:r>
        <w:rPr>
          <w:rFonts w:hint="eastAsia"/>
        </w:rPr>
        <w:t>SD</w:t>
      </w:r>
      <w:r>
        <w:rPr>
          <w:rFonts w:hint="eastAsia"/>
        </w:rPr>
        <w:t>表示，计量资料比较采用</w:t>
      </w:r>
      <w:r>
        <w:rPr>
          <w:rFonts w:hint="eastAsia"/>
        </w:rPr>
        <w:t>t</w:t>
      </w:r>
      <w:r>
        <w:rPr>
          <w:rFonts w:hint="eastAsia"/>
        </w:rPr>
        <w:t>检验，计数资料比较采用卡方检验，以</w:t>
      </w:r>
      <w:r>
        <w:rPr>
          <w:rFonts w:hint="eastAsia"/>
          <w:i/>
          <w:iCs/>
        </w:rPr>
        <w:t>P</w:t>
      </w:r>
      <w:r>
        <w:rPr>
          <w:rFonts w:hint="eastAsia"/>
        </w:rPr>
        <w:t>&lt;0.05</w:t>
      </w:r>
      <w:r>
        <w:rPr>
          <w:rFonts w:hint="eastAsia"/>
        </w:rPr>
        <w:t>判定为差异具有统计学意义。</w:t>
      </w:r>
    </w:p>
    <w:p w14:paraId="14D2FEB6" w14:textId="77777777" w:rsidR="008505F4" w:rsidRPr="00172F15" w:rsidRDefault="008505F4" w:rsidP="008505F4">
      <w:pPr>
        <w:ind w:firstLine="435"/>
        <w:rPr>
          <w:rFonts w:hint="eastAsia"/>
        </w:rPr>
      </w:pPr>
    </w:p>
    <w:p w14:paraId="7D823BB1" w14:textId="77777777" w:rsidR="008505F4" w:rsidRDefault="008505F4" w:rsidP="008505F4">
      <w:pPr>
        <w:rPr>
          <w:rFonts w:hint="eastAsia"/>
          <w:b/>
          <w:bCs/>
        </w:rPr>
      </w:pPr>
      <w:r>
        <w:rPr>
          <w:rFonts w:hint="eastAsia"/>
          <w:b/>
          <w:bCs/>
        </w:rPr>
        <w:t xml:space="preserve">2 </w:t>
      </w:r>
      <w:r>
        <w:rPr>
          <w:rFonts w:hint="eastAsia"/>
          <w:b/>
          <w:bCs/>
        </w:rPr>
        <w:t>结果</w:t>
      </w:r>
    </w:p>
    <w:p w14:paraId="0839029F" w14:textId="77777777" w:rsidR="008505F4" w:rsidRDefault="008505F4" w:rsidP="008505F4">
      <w:pPr>
        <w:jc w:val="left"/>
        <w:rPr>
          <w:b/>
          <w:bCs/>
          <w:kern w:val="0"/>
          <w:szCs w:val="21"/>
        </w:rPr>
      </w:pPr>
      <w:r>
        <w:rPr>
          <w:b/>
          <w:bCs/>
          <w:kern w:val="0"/>
          <w:szCs w:val="21"/>
        </w:rPr>
        <w:t>2</w:t>
      </w:r>
      <w:r>
        <w:rPr>
          <w:b/>
          <w:bCs/>
          <w:kern w:val="0"/>
          <w:szCs w:val="21"/>
        </w:rPr>
        <w:t>．</w:t>
      </w:r>
      <w:r>
        <w:rPr>
          <w:rFonts w:hint="eastAsia"/>
          <w:b/>
          <w:bCs/>
          <w:kern w:val="0"/>
          <w:szCs w:val="21"/>
        </w:rPr>
        <w:t>1</w:t>
      </w:r>
      <w:r>
        <w:rPr>
          <w:b/>
          <w:bCs/>
          <w:kern w:val="0"/>
          <w:szCs w:val="21"/>
        </w:rPr>
        <w:t>一般情况比较</w:t>
      </w:r>
    </w:p>
    <w:p w14:paraId="0E2630E8" w14:textId="77777777" w:rsidR="008505F4" w:rsidRDefault="008505F4" w:rsidP="008505F4">
      <w:pPr>
        <w:ind w:firstLine="435"/>
        <w:jc w:val="left"/>
        <w:rPr>
          <w:rFonts w:hint="eastAsia"/>
          <w:kern w:val="0"/>
          <w:szCs w:val="21"/>
        </w:rPr>
      </w:pPr>
      <w:r>
        <w:rPr>
          <w:rFonts w:hint="eastAsia"/>
          <w:kern w:val="0"/>
          <w:szCs w:val="21"/>
        </w:rPr>
        <w:t>如表</w:t>
      </w:r>
      <w:r>
        <w:rPr>
          <w:rFonts w:hint="eastAsia"/>
          <w:kern w:val="0"/>
          <w:szCs w:val="21"/>
        </w:rPr>
        <w:t>1</w:t>
      </w:r>
      <w:r>
        <w:rPr>
          <w:rFonts w:hint="eastAsia"/>
          <w:kern w:val="0"/>
          <w:szCs w:val="21"/>
        </w:rPr>
        <w:t>所示，对照组与联合组在年龄、性别构成比、入院血清淀粉酶水平、</w:t>
      </w:r>
      <w:r w:rsidRPr="00A60B6A">
        <w:rPr>
          <w:rFonts w:hint="eastAsia"/>
          <w:kern w:val="0"/>
          <w:szCs w:val="21"/>
        </w:rPr>
        <w:t>CTSI</w:t>
      </w:r>
      <w:r w:rsidRPr="00A60B6A">
        <w:rPr>
          <w:rFonts w:hint="eastAsia"/>
          <w:kern w:val="0"/>
          <w:szCs w:val="21"/>
        </w:rPr>
        <w:t>评分</w:t>
      </w:r>
      <w:r>
        <w:rPr>
          <w:rFonts w:hint="eastAsia"/>
          <w:kern w:val="0"/>
          <w:szCs w:val="21"/>
        </w:rPr>
        <w:t>及</w:t>
      </w:r>
      <w:r w:rsidRPr="00A60B6A">
        <w:rPr>
          <w:rFonts w:hint="eastAsia"/>
          <w:kern w:val="0"/>
          <w:szCs w:val="21"/>
        </w:rPr>
        <w:t>APACHE</w:t>
      </w:r>
      <w:r w:rsidRPr="00A60B6A">
        <w:rPr>
          <w:rFonts w:hint="eastAsia"/>
          <w:kern w:val="0"/>
          <w:szCs w:val="21"/>
        </w:rPr>
        <w:t>Ⅱ评分</w:t>
      </w:r>
      <w:r>
        <w:rPr>
          <w:rFonts w:hint="eastAsia"/>
          <w:kern w:val="0"/>
          <w:szCs w:val="21"/>
        </w:rPr>
        <w:t>等方面差异无统计学意义（</w:t>
      </w:r>
      <w:r>
        <w:rPr>
          <w:rFonts w:hint="eastAsia"/>
          <w:kern w:val="0"/>
          <w:szCs w:val="21"/>
        </w:rPr>
        <w:t>P</w:t>
      </w:r>
      <w:r w:rsidRPr="00A60B6A">
        <w:rPr>
          <w:kern w:val="0"/>
          <w:szCs w:val="21"/>
        </w:rPr>
        <w:t>&gt; 0.05</w:t>
      </w:r>
      <w:r>
        <w:rPr>
          <w:rFonts w:hint="eastAsia"/>
          <w:kern w:val="0"/>
          <w:szCs w:val="21"/>
        </w:rPr>
        <w:t>）。</w:t>
      </w:r>
    </w:p>
    <w:p w14:paraId="6A2EEF06" w14:textId="77777777" w:rsidR="008505F4" w:rsidRDefault="008505F4" w:rsidP="008505F4">
      <w:pPr>
        <w:ind w:firstLine="435"/>
        <w:jc w:val="center"/>
        <w:rPr>
          <w:rFonts w:hint="eastAsia"/>
          <w:kern w:val="0"/>
          <w:szCs w:val="21"/>
        </w:rPr>
      </w:pPr>
      <w:r>
        <w:rPr>
          <w:rFonts w:hint="eastAsia"/>
          <w:kern w:val="0"/>
          <w:szCs w:val="21"/>
        </w:rPr>
        <w:t>表</w:t>
      </w:r>
      <w:r>
        <w:rPr>
          <w:rFonts w:hint="eastAsia"/>
          <w:kern w:val="0"/>
          <w:szCs w:val="21"/>
        </w:rPr>
        <w:t xml:space="preserve">1 </w:t>
      </w:r>
      <w:r>
        <w:rPr>
          <w:rFonts w:hint="eastAsia"/>
          <w:kern w:val="0"/>
          <w:szCs w:val="21"/>
        </w:rPr>
        <w:t>两组患者一般情况比较</w:t>
      </w:r>
    </w:p>
    <w:tbl>
      <w:tblPr>
        <w:tblW w:w="8417" w:type="dxa"/>
        <w:tblInd w:w="-30" w:type="dxa"/>
        <w:tblLayout w:type="fixed"/>
        <w:tblCellMar>
          <w:left w:w="0" w:type="dxa"/>
          <w:right w:w="0" w:type="dxa"/>
        </w:tblCellMar>
        <w:tblLook w:val="0000" w:firstRow="0" w:lastRow="0" w:firstColumn="0" w:lastColumn="0" w:noHBand="0" w:noVBand="0"/>
      </w:tblPr>
      <w:tblGrid>
        <w:gridCol w:w="917"/>
        <w:gridCol w:w="61"/>
        <w:gridCol w:w="925"/>
        <w:gridCol w:w="174"/>
        <w:gridCol w:w="907"/>
        <w:gridCol w:w="1217"/>
        <w:gridCol w:w="1358"/>
        <w:gridCol w:w="1015"/>
        <w:gridCol w:w="1843"/>
        <w:tblGridChange w:id="13">
          <w:tblGrid>
            <w:gridCol w:w="917"/>
            <w:gridCol w:w="61"/>
            <w:gridCol w:w="925"/>
            <w:gridCol w:w="174"/>
            <w:gridCol w:w="907"/>
            <w:gridCol w:w="1217"/>
            <w:gridCol w:w="1358"/>
            <w:gridCol w:w="1015"/>
            <w:gridCol w:w="1843"/>
          </w:tblGrid>
        </w:tblGridChange>
      </w:tblGrid>
      <w:tr w:rsidR="008505F4" w14:paraId="7C333DB9" w14:textId="77777777" w:rsidTr="00003C98">
        <w:trPr>
          <w:trHeight w:val="289"/>
        </w:trPr>
        <w:tc>
          <w:tcPr>
            <w:tcW w:w="917" w:type="dxa"/>
            <w:tcBorders>
              <w:top w:val="single" w:sz="12" w:space="0" w:color="000000"/>
              <w:left w:val="single" w:sz="12" w:space="0" w:color="FFFFFF"/>
              <w:bottom w:val="single" w:sz="12" w:space="0" w:color="000000"/>
              <w:right w:val="single" w:sz="12" w:space="0" w:color="FFFFFF"/>
            </w:tcBorders>
            <w:tcMar>
              <w:top w:w="15" w:type="dxa"/>
              <w:left w:w="15" w:type="dxa"/>
              <w:right w:w="15" w:type="dxa"/>
            </w:tcMar>
            <w:vAlign w:val="center"/>
          </w:tcPr>
          <w:p w14:paraId="2594A29B" w14:textId="77777777" w:rsidR="008505F4" w:rsidRPr="00285E21" w:rsidRDefault="008505F4" w:rsidP="00003C98">
            <w:pPr>
              <w:textAlignment w:val="center"/>
              <w:rPr>
                <w:szCs w:val="21"/>
              </w:rPr>
            </w:pPr>
            <w:r w:rsidRPr="00285E21">
              <w:rPr>
                <w:kern w:val="0"/>
                <w:szCs w:val="21"/>
              </w:rPr>
              <w:t>组别</w:t>
            </w:r>
            <w:r w:rsidRPr="00285E21">
              <w:rPr>
                <w:rFonts w:hint="eastAsia"/>
                <w:kern w:val="0"/>
                <w:szCs w:val="21"/>
              </w:rPr>
              <w:t>(n)</w:t>
            </w:r>
          </w:p>
        </w:tc>
        <w:tc>
          <w:tcPr>
            <w:tcW w:w="1160" w:type="dxa"/>
            <w:gridSpan w:val="3"/>
            <w:tcBorders>
              <w:top w:val="single" w:sz="12" w:space="0" w:color="000000"/>
              <w:left w:val="single" w:sz="12" w:space="0" w:color="FFFFFF"/>
              <w:bottom w:val="single" w:sz="12" w:space="0" w:color="000000"/>
              <w:right w:val="single" w:sz="12" w:space="0" w:color="FFFFFF"/>
            </w:tcBorders>
            <w:tcMar>
              <w:top w:w="15" w:type="dxa"/>
              <w:left w:w="15" w:type="dxa"/>
              <w:right w:w="15" w:type="dxa"/>
            </w:tcMar>
            <w:vAlign w:val="center"/>
          </w:tcPr>
          <w:p w14:paraId="522EDD96" w14:textId="77777777" w:rsidR="008505F4" w:rsidRDefault="008505F4" w:rsidP="00003C98">
            <w:pPr>
              <w:jc w:val="center"/>
              <w:textAlignment w:val="center"/>
              <w:rPr>
                <w:rFonts w:hint="eastAsia"/>
                <w:kern w:val="0"/>
                <w:szCs w:val="21"/>
              </w:rPr>
            </w:pPr>
            <w:r w:rsidRPr="00285E21">
              <w:rPr>
                <w:rFonts w:hint="eastAsia"/>
                <w:kern w:val="0"/>
                <w:szCs w:val="21"/>
              </w:rPr>
              <w:t>性别</w:t>
            </w:r>
          </w:p>
          <w:p w14:paraId="6AF7B60E" w14:textId="77777777" w:rsidR="008505F4" w:rsidRPr="00285E21" w:rsidRDefault="008505F4" w:rsidP="00003C98">
            <w:pPr>
              <w:jc w:val="center"/>
              <w:textAlignment w:val="center"/>
              <w:rPr>
                <w:szCs w:val="21"/>
              </w:rPr>
            </w:pPr>
            <w:r w:rsidRPr="00285E21">
              <w:rPr>
                <w:rFonts w:hint="eastAsia"/>
                <w:kern w:val="0"/>
                <w:szCs w:val="21"/>
              </w:rPr>
              <w:t>（男</w:t>
            </w:r>
            <w:r w:rsidRPr="00285E21">
              <w:rPr>
                <w:rFonts w:hint="eastAsia"/>
                <w:kern w:val="0"/>
                <w:szCs w:val="21"/>
              </w:rPr>
              <w:t>/</w:t>
            </w:r>
            <w:r w:rsidRPr="00285E21">
              <w:rPr>
                <w:rFonts w:hint="eastAsia"/>
                <w:kern w:val="0"/>
                <w:szCs w:val="21"/>
              </w:rPr>
              <w:t>女）</w:t>
            </w:r>
          </w:p>
        </w:tc>
        <w:tc>
          <w:tcPr>
            <w:tcW w:w="907" w:type="dxa"/>
            <w:tcBorders>
              <w:top w:val="single" w:sz="12" w:space="0" w:color="000000"/>
              <w:left w:val="single" w:sz="12" w:space="0" w:color="FFFFFF"/>
              <w:bottom w:val="single" w:sz="12" w:space="0" w:color="000000"/>
              <w:right w:val="single" w:sz="12" w:space="0" w:color="FFFFFF"/>
            </w:tcBorders>
            <w:tcMar>
              <w:top w:w="15" w:type="dxa"/>
              <w:left w:w="15" w:type="dxa"/>
              <w:right w:w="15" w:type="dxa"/>
            </w:tcMar>
            <w:vAlign w:val="center"/>
          </w:tcPr>
          <w:p w14:paraId="3C102CE0" w14:textId="77777777" w:rsidR="008505F4" w:rsidRDefault="008505F4" w:rsidP="00003C98">
            <w:pPr>
              <w:jc w:val="center"/>
              <w:textAlignment w:val="center"/>
              <w:rPr>
                <w:rFonts w:hint="eastAsia"/>
                <w:kern w:val="0"/>
                <w:szCs w:val="21"/>
              </w:rPr>
            </w:pPr>
            <w:r w:rsidRPr="00285E21">
              <w:rPr>
                <w:rFonts w:hint="eastAsia"/>
                <w:kern w:val="0"/>
                <w:szCs w:val="21"/>
              </w:rPr>
              <w:t>年龄</w:t>
            </w:r>
          </w:p>
          <w:p w14:paraId="53965588" w14:textId="77777777" w:rsidR="008505F4" w:rsidRPr="00285E21" w:rsidRDefault="008505F4" w:rsidP="00003C98">
            <w:pPr>
              <w:jc w:val="center"/>
              <w:textAlignment w:val="center"/>
              <w:rPr>
                <w:szCs w:val="21"/>
              </w:rPr>
            </w:pPr>
            <w:r w:rsidRPr="00285E21">
              <w:rPr>
                <w:rFonts w:hint="eastAsia"/>
                <w:kern w:val="0"/>
                <w:szCs w:val="21"/>
              </w:rPr>
              <w:t>（范围，岁）</w:t>
            </w:r>
          </w:p>
        </w:tc>
        <w:tc>
          <w:tcPr>
            <w:tcW w:w="1217" w:type="dxa"/>
            <w:tcBorders>
              <w:top w:val="single" w:sz="12" w:space="0" w:color="000000"/>
              <w:left w:val="single" w:sz="12" w:space="0" w:color="FFFFFF"/>
              <w:bottom w:val="single" w:sz="12" w:space="0" w:color="000000"/>
              <w:right w:val="single" w:sz="12" w:space="0" w:color="FFFFFF"/>
            </w:tcBorders>
          </w:tcPr>
          <w:p w14:paraId="495C192C" w14:textId="77777777" w:rsidR="008505F4" w:rsidRPr="00285E21" w:rsidRDefault="008505F4" w:rsidP="00003C98">
            <w:pPr>
              <w:jc w:val="center"/>
              <w:textAlignment w:val="center"/>
              <w:rPr>
                <w:rFonts w:hint="eastAsia"/>
                <w:kern w:val="0"/>
                <w:szCs w:val="21"/>
              </w:rPr>
            </w:pPr>
            <w:r w:rsidRPr="00285E21">
              <w:rPr>
                <w:rFonts w:hint="eastAsia"/>
                <w:kern w:val="0"/>
                <w:szCs w:val="21"/>
              </w:rPr>
              <w:t>入院时发病</w:t>
            </w:r>
          </w:p>
          <w:p w14:paraId="6D3E93DC" w14:textId="77777777" w:rsidR="008505F4" w:rsidRPr="00285E21" w:rsidRDefault="008505F4" w:rsidP="00003C98">
            <w:pPr>
              <w:jc w:val="center"/>
              <w:textAlignment w:val="center"/>
              <w:rPr>
                <w:rFonts w:hint="eastAsia"/>
                <w:kern w:val="0"/>
                <w:szCs w:val="21"/>
              </w:rPr>
            </w:pPr>
            <w:r w:rsidRPr="00285E21">
              <w:rPr>
                <w:rFonts w:hint="eastAsia"/>
                <w:kern w:val="0"/>
                <w:szCs w:val="21"/>
              </w:rPr>
              <w:t>时间</w:t>
            </w:r>
            <w:r>
              <w:rPr>
                <w:rFonts w:hint="eastAsia"/>
                <w:kern w:val="0"/>
                <w:szCs w:val="21"/>
              </w:rPr>
              <w:t>（小时）</w:t>
            </w:r>
          </w:p>
        </w:tc>
        <w:tc>
          <w:tcPr>
            <w:tcW w:w="1358" w:type="dxa"/>
            <w:tcBorders>
              <w:top w:val="single" w:sz="12" w:space="0" w:color="000000"/>
              <w:left w:val="single" w:sz="12" w:space="0" w:color="FFFFFF"/>
              <w:bottom w:val="single" w:sz="12" w:space="0" w:color="000000"/>
              <w:right w:val="single" w:sz="12" w:space="0" w:color="FFFFFF"/>
            </w:tcBorders>
          </w:tcPr>
          <w:p w14:paraId="14BB47D3" w14:textId="77777777" w:rsidR="008505F4" w:rsidRPr="00285E21" w:rsidRDefault="008505F4" w:rsidP="00003C98">
            <w:pPr>
              <w:jc w:val="center"/>
              <w:textAlignment w:val="center"/>
              <w:rPr>
                <w:rFonts w:hint="eastAsia"/>
                <w:kern w:val="0"/>
                <w:szCs w:val="21"/>
              </w:rPr>
            </w:pPr>
            <w:r w:rsidRPr="00285E21">
              <w:rPr>
                <w:rFonts w:hint="eastAsia"/>
                <w:kern w:val="0"/>
                <w:szCs w:val="21"/>
              </w:rPr>
              <w:t>血清淀粉酶</w:t>
            </w:r>
          </w:p>
          <w:p w14:paraId="6FBF2884" w14:textId="77777777" w:rsidR="008505F4" w:rsidRPr="00285E21" w:rsidRDefault="008505F4" w:rsidP="00003C98">
            <w:pPr>
              <w:jc w:val="center"/>
              <w:textAlignment w:val="center"/>
              <w:rPr>
                <w:rFonts w:hint="eastAsia"/>
                <w:kern w:val="0"/>
                <w:szCs w:val="21"/>
              </w:rPr>
            </w:pPr>
            <w:r w:rsidRPr="00285E21">
              <w:rPr>
                <w:kern w:val="0"/>
                <w:szCs w:val="21"/>
              </w:rPr>
              <w:t>(IU/L)</w:t>
            </w:r>
          </w:p>
        </w:tc>
        <w:tc>
          <w:tcPr>
            <w:tcW w:w="1015" w:type="dxa"/>
            <w:tcBorders>
              <w:top w:val="single" w:sz="12" w:space="0" w:color="000000"/>
              <w:left w:val="single" w:sz="12" w:space="0" w:color="FFFFFF"/>
              <w:bottom w:val="single" w:sz="12" w:space="0" w:color="000000"/>
              <w:right w:val="single" w:sz="12" w:space="0" w:color="FFFFFF"/>
            </w:tcBorders>
            <w:tcMar>
              <w:top w:w="15" w:type="dxa"/>
              <w:left w:w="15" w:type="dxa"/>
              <w:right w:w="15" w:type="dxa"/>
            </w:tcMar>
            <w:vAlign w:val="center"/>
          </w:tcPr>
          <w:p w14:paraId="13823901" w14:textId="77777777" w:rsidR="008505F4" w:rsidRPr="00285E21" w:rsidRDefault="008505F4" w:rsidP="00003C98">
            <w:pPr>
              <w:jc w:val="center"/>
              <w:textAlignment w:val="center"/>
              <w:rPr>
                <w:szCs w:val="21"/>
              </w:rPr>
            </w:pPr>
            <w:r w:rsidRPr="00285E21">
              <w:rPr>
                <w:rFonts w:hint="eastAsia"/>
                <w:kern w:val="0"/>
                <w:szCs w:val="21"/>
              </w:rPr>
              <w:t>CTSI</w:t>
            </w:r>
            <w:r w:rsidRPr="00285E21">
              <w:rPr>
                <w:rFonts w:hint="eastAsia"/>
                <w:kern w:val="0"/>
                <w:szCs w:val="21"/>
              </w:rPr>
              <w:t>评分</w:t>
            </w:r>
            <w:r w:rsidRPr="00285E21">
              <w:rPr>
                <w:rFonts w:hint="eastAsia"/>
                <w:kern w:val="0"/>
                <w:szCs w:val="21"/>
              </w:rPr>
              <w:t>(</w:t>
            </w:r>
            <w:r w:rsidRPr="00285E21">
              <w:rPr>
                <w:rFonts w:hint="eastAsia"/>
                <w:kern w:val="0"/>
                <w:szCs w:val="21"/>
              </w:rPr>
              <w:t>分</w:t>
            </w:r>
            <w:r w:rsidRPr="00285E21">
              <w:rPr>
                <w:rFonts w:hint="eastAsia"/>
                <w:kern w:val="0"/>
                <w:szCs w:val="21"/>
              </w:rPr>
              <w:t>)</w:t>
            </w:r>
          </w:p>
        </w:tc>
        <w:tc>
          <w:tcPr>
            <w:tcW w:w="1843" w:type="dxa"/>
            <w:tcBorders>
              <w:top w:val="single" w:sz="12" w:space="0" w:color="000000"/>
              <w:left w:val="single" w:sz="12" w:space="0" w:color="FFFFFF"/>
              <w:bottom w:val="single" w:sz="12" w:space="0" w:color="000000"/>
              <w:right w:val="single" w:sz="12" w:space="0" w:color="FFFFFF"/>
            </w:tcBorders>
            <w:tcMar>
              <w:top w:w="15" w:type="dxa"/>
              <w:left w:w="15" w:type="dxa"/>
              <w:right w:w="15" w:type="dxa"/>
            </w:tcMar>
            <w:vAlign w:val="center"/>
          </w:tcPr>
          <w:p w14:paraId="05D1A82B" w14:textId="77777777" w:rsidR="008505F4" w:rsidRDefault="008505F4" w:rsidP="00003C98">
            <w:pPr>
              <w:jc w:val="center"/>
              <w:textAlignment w:val="center"/>
              <w:rPr>
                <w:rFonts w:hint="eastAsia"/>
                <w:color w:val="000000"/>
                <w:szCs w:val="21"/>
              </w:rPr>
            </w:pPr>
            <w:r w:rsidRPr="00285E21">
              <w:rPr>
                <w:rFonts w:hint="eastAsia"/>
                <w:color w:val="000000"/>
                <w:szCs w:val="21"/>
              </w:rPr>
              <w:t>APACHE</w:t>
            </w:r>
            <w:r w:rsidRPr="00285E21">
              <w:rPr>
                <w:rFonts w:hint="eastAsia"/>
                <w:color w:val="000000"/>
                <w:szCs w:val="21"/>
              </w:rPr>
              <w:t>Ⅱ评分</w:t>
            </w:r>
          </w:p>
          <w:p w14:paraId="572D3410" w14:textId="77777777" w:rsidR="008505F4" w:rsidRPr="00285E21" w:rsidRDefault="008505F4" w:rsidP="00003C98">
            <w:pPr>
              <w:jc w:val="center"/>
              <w:textAlignment w:val="center"/>
              <w:rPr>
                <w:szCs w:val="21"/>
              </w:rPr>
            </w:pPr>
            <w:r w:rsidRPr="00285E21">
              <w:rPr>
                <w:rFonts w:hint="eastAsia"/>
                <w:color w:val="000000"/>
                <w:szCs w:val="21"/>
              </w:rPr>
              <w:t>(</w:t>
            </w:r>
            <w:r w:rsidRPr="00285E21">
              <w:rPr>
                <w:rFonts w:hint="eastAsia"/>
                <w:color w:val="000000"/>
                <w:szCs w:val="21"/>
              </w:rPr>
              <w:t>分</w:t>
            </w:r>
            <w:r w:rsidRPr="00285E21">
              <w:rPr>
                <w:rFonts w:hint="eastAsia"/>
                <w:color w:val="000000"/>
                <w:szCs w:val="21"/>
              </w:rPr>
              <w:t>)</w:t>
            </w:r>
          </w:p>
        </w:tc>
      </w:tr>
      <w:tr w:rsidR="008505F4" w14:paraId="6CA359F7" w14:textId="77777777" w:rsidTr="00003C98">
        <w:trPr>
          <w:trHeight w:val="289"/>
        </w:trPr>
        <w:tc>
          <w:tcPr>
            <w:tcW w:w="978" w:type="dxa"/>
            <w:gridSpan w:val="2"/>
            <w:tcBorders>
              <w:top w:val="single" w:sz="12" w:space="0" w:color="000000"/>
              <w:left w:val="single" w:sz="12" w:space="0" w:color="FFFFFF"/>
              <w:bottom w:val="single" w:sz="12" w:space="0" w:color="FFFFFF"/>
              <w:right w:val="single" w:sz="12" w:space="0" w:color="FFFFFF"/>
            </w:tcBorders>
            <w:tcMar>
              <w:top w:w="15" w:type="dxa"/>
              <w:left w:w="15" w:type="dxa"/>
              <w:right w:w="15" w:type="dxa"/>
            </w:tcMar>
            <w:vAlign w:val="center"/>
          </w:tcPr>
          <w:p w14:paraId="54D3E255" w14:textId="77777777" w:rsidR="008505F4" w:rsidRPr="002F3A23" w:rsidRDefault="008505F4" w:rsidP="00003C98">
            <w:pPr>
              <w:jc w:val="center"/>
              <w:textAlignment w:val="center"/>
              <w:rPr>
                <w:kern w:val="0"/>
                <w:szCs w:val="21"/>
              </w:rPr>
            </w:pPr>
            <w:r>
              <w:rPr>
                <w:kern w:val="0"/>
                <w:szCs w:val="21"/>
              </w:rPr>
              <w:t>对照组</w:t>
            </w:r>
            <w:r>
              <w:rPr>
                <w:rFonts w:hint="eastAsia"/>
                <w:kern w:val="0"/>
                <w:szCs w:val="21"/>
              </w:rPr>
              <w:t>(32)</w:t>
            </w:r>
          </w:p>
        </w:tc>
        <w:tc>
          <w:tcPr>
            <w:tcW w:w="925" w:type="dxa"/>
            <w:tcBorders>
              <w:top w:val="single" w:sz="12" w:space="0" w:color="000000"/>
              <w:left w:val="single" w:sz="12" w:space="0" w:color="FFFFFF"/>
              <w:bottom w:val="single" w:sz="12" w:space="0" w:color="FFFFFF"/>
              <w:right w:val="single" w:sz="12" w:space="0" w:color="FFFFFF"/>
            </w:tcBorders>
            <w:tcMar>
              <w:top w:w="15" w:type="dxa"/>
              <w:left w:w="15" w:type="dxa"/>
              <w:right w:w="15" w:type="dxa"/>
            </w:tcMar>
            <w:vAlign w:val="center"/>
          </w:tcPr>
          <w:p w14:paraId="5F9EC7F2" w14:textId="77777777" w:rsidR="008505F4" w:rsidRDefault="008505F4" w:rsidP="00003C98">
            <w:pPr>
              <w:jc w:val="center"/>
              <w:textAlignment w:val="center"/>
              <w:rPr>
                <w:szCs w:val="21"/>
              </w:rPr>
            </w:pPr>
            <w:r>
              <w:rPr>
                <w:rFonts w:hint="eastAsia"/>
                <w:kern w:val="0"/>
                <w:szCs w:val="21"/>
              </w:rPr>
              <w:t>19/13</w:t>
            </w:r>
          </w:p>
        </w:tc>
        <w:tc>
          <w:tcPr>
            <w:tcW w:w="1081" w:type="dxa"/>
            <w:gridSpan w:val="2"/>
            <w:tcBorders>
              <w:top w:val="single" w:sz="12" w:space="0" w:color="000000"/>
              <w:left w:val="single" w:sz="12" w:space="0" w:color="FFFFFF"/>
              <w:bottom w:val="single" w:sz="12" w:space="0" w:color="FFFFFF"/>
              <w:right w:val="single" w:sz="12" w:space="0" w:color="FFFFFF"/>
            </w:tcBorders>
            <w:tcMar>
              <w:top w:w="15" w:type="dxa"/>
              <w:left w:w="15" w:type="dxa"/>
              <w:right w:w="15" w:type="dxa"/>
            </w:tcMar>
            <w:vAlign w:val="center"/>
          </w:tcPr>
          <w:p w14:paraId="69696C6C" w14:textId="77777777" w:rsidR="008505F4" w:rsidRDefault="008505F4" w:rsidP="00003C98">
            <w:pPr>
              <w:jc w:val="center"/>
              <w:textAlignment w:val="center"/>
              <w:rPr>
                <w:szCs w:val="21"/>
              </w:rPr>
            </w:pPr>
            <w:r w:rsidRPr="002F3A23">
              <w:rPr>
                <w:kern w:val="0"/>
                <w:szCs w:val="21"/>
              </w:rPr>
              <w:t>57.2±9.6</w:t>
            </w:r>
            <w:r>
              <w:rPr>
                <w:rFonts w:hint="eastAsia"/>
                <w:bCs/>
              </w:rPr>
              <w:t>（</w:t>
            </w:r>
            <w:r w:rsidRPr="009209E2">
              <w:rPr>
                <w:rFonts w:hint="eastAsia"/>
                <w:bCs/>
              </w:rPr>
              <w:t>42</w:t>
            </w:r>
            <w:r w:rsidRPr="009209E2">
              <w:rPr>
                <w:rFonts w:hint="eastAsia"/>
                <w:bCs/>
              </w:rPr>
              <w:t>～</w:t>
            </w:r>
            <w:r w:rsidRPr="009209E2">
              <w:rPr>
                <w:rFonts w:hint="eastAsia"/>
                <w:bCs/>
              </w:rPr>
              <w:t>77</w:t>
            </w:r>
            <w:r>
              <w:rPr>
                <w:rFonts w:hint="eastAsia"/>
                <w:bCs/>
              </w:rPr>
              <w:t>）</w:t>
            </w:r>
          </w:p>
        </w:tc>
        <w:tc>
          <w:tcPr>
            <w:tcW w:w="1217" w:type="dxa"/>
            <w:tcBorders>
              <w:top w:val="single" w:sz="12" w:space="0" w:color="000000"/>
              <w:left w:val="single" w:sz="12" w:space="0" w:color="FFFFFF"/>
              <w:bottom w:val="single" w:sz="12" w:space="0" w:color="FFFFFF"/>
              <w:right w:val="single" w:sz="12" w:space="0" w:color="FFFFFF"/>
            </w:tcBorders>
          </w:tcPr>
          <w:p w14:paraId="0C715F74" w14:textId="77777777" w:rsidR="008505F4" w:rsidRDefault="008505F4" w:rsidP="00003C98">
            <w:pPr>
              <w:jc w:val="center"/>
              <w:textAlignment w:val="center"/>
              <w:rPr>
                <w:kern w:val="0"/>
                <w:szCs w:val="21"/>
              </w:rPr>
            </w:pPr>
            <w:r>
              <w:rPr>
                <w:rFonts w:hint="eastAsia"/>
                <w:kern w:val="0"/>
                <w:szCs w:val="21"/>
              </w:rPr>
              <w:t>6.7+2.0</w:t>
            </w:r>
          </w:p>
        </w:tc>
        <w:tc>
          <w:tcPr>
            <w:tcW w:w="1358" w:type="dxa"/>
            <w:tcBorders>
              <w:top w:val="single" w:sz="12" w:space="0" w:color="000000"/>
              <w:left w:val="single" w:sz="12" w:space="0" w:color="FFFFFF"/>
              <w:bottom w:val="single" w:sz="12" w:space="0" w:color="FFFFFF"/>
              <w:right w:val="single" w:sz="12" w:space="0" w:color="FFFFFF"/>
            </w:tcBorders>
          </w:tcPr>
          <w:p w14:paraId="74678E0C" w14:textId="77777777" w:rsidR="008505F4" w:rsidRDefault="008505F4" w:rsidP="00003C98">
            <w:pPr>
              <w:jc w:val="center"/>
              <w:textAlignment w:val="center"/>
              <w:rPr>
                <w:kern w:val="0"/>
                <w:szCs w:val="21"/>
              </w:rPr>
            </w:pPr>
            <w:r w:rsidRPr="0024768C">
              <w:rPr>
                <w:kern w:val="0"/>
                <w:szCs w:val="21"/>
              </w:rPr>
              <w:t>842.9±54.7</w:t>
            </w:r>
          </w:p>
        </w:tc>
        <w:tc>
          <w:tcPr>
            <w:tcW w:w="1015" w:type="dxa"/>
            <w:tcBorders>
              <w:top w:val="single" w:sz="12" w:space="0" w:color="000000"/>
              <w:left w:val="single" w:sz="12" w:space="0" w:color="FFFFFF"/>
              <w:bottom w:val="single" w:sz="12" w:space="0" w:color="FFFFFF"/>
              <w:right w:val="single" w:sz="12" w:space="0" w:color="FFFFFF"/>
            </w:tcBorders>
            <w:tcMar>
              <w:top w:w="15" w:type="dxa"/>
              <w:left w:w="15" w:type="dxa"/>
              <w:right w:w="15" w:type="dxa"/>
            </w:tcMar>
            <w:vAlign w:val="center"/>
          </w:tcPr>
          <w:p w14:paraId="43C1694E" w14:textId="77777777" w:rsidR="008505F4" w:rsidRDefault="008505F4" w:rsidP="00003C98">
            <w:pPr>
              <w:jc w:val="center"/>
              <w:textAlignment w:val="center"/>
              <w:rPr>
                <w:szCs w:val="21"/>
              </w:rPr>
            </w:pPr>
            <w:r>
              <w:rPr>
                <w:rFonts w:hint="eastAsia"/>
                <w:kern w:val="0"/>
                <w:szCs w:val="21"/>
              </w:rPr>
              <w:t>5.8</w:t>
            </w:r>
            <w:r>
              <w:rPr>
                <w:kern w:val="0"/>
                <w:szCs w:val="21"/>
              </w:rPr>
              <w:t>±0.</w:t>
            </w:r>
            <w:r>
              <w:rPr>
                <w:rFonts w:hint="eastAsia"/>
                <w:kern w:val="0"/>
                <w:szCs w:val="21"/>
              </w:rPr>
              <w:t>6</w:t>
            </w:r>
            <w:r w:rsidRPr="0024768C">
              <w:rPr>
                <w:kern w:val="0"/>
                <w:szCs w:val="21"/>
              </w:rPr>
              <w:t xml:space="preserve"> </w:t>
            </w:r>
          </w:p>
        </w:tc>
        <w:tc>
          <w:tcPr>
            <w:tcW w:w="1843" w:type="dxa"/>
            <w:tcBorders>
              <w:top w:val="single" w:sz="12" w:space="0" w:color="000000"/>
              <w:left w:val="single" w:sz="12" w:space="0" w:color="FFFFFF"/>
              <w:bottom w:val="single" w:sz="12" w:space="0" w:color="FFFFFF"/>
              <w:right w:val="single" w:sz="12" w:space="0" w:color="FFFFFF"/>
            </w:tcBorders>
            <w:tcMar>
              <w:top w:w="15" w:type="dxa"/>
              <w:left w:w="15" w:type="dxa"/>
              <w:right w:w="15" w:type="dxa"/>
            </w:tcMar>
            <w:vAlign w:val="center"/>
          </w:tcPr>
          <w:p w14:paraId="6DF1B46B" w14:textId="77777777" w:rsidR="008505F4" w:rsidRDefault="008505F4" w:rsidP="00003C98">
            <w:pPr>
              <w:jc w:val="center"/>
              <w:rPr>
                <w:szCs w:val="21"/>
              </w:rPr>
            </w:pPr>
            <w:r>
              <w:rPr>
                <w:rFonts w:hint="eastAsia"/>
                <w:szCs w:val="21"/>
              </w:rPr>
              <w:t>9</w:t>
            </w:r>
            <w:r>
              <w:rPr>
                <w:szCs w:val="21"/>
              </w:rPr>
              <w:t>.8±2</w:t>
            </w:r>
            <w:r>
              <w:rPr>
                <w:rFonts w:hint="eastAsia"/>
                <w:szCs w:val="21"/>
              </w:rPr>
              <w:t>.0</w:t>
            </w:r>
            <w:r w:rsidRPr="0024768C">
              <w:rPr>
                <w:szCs w:val="21"/>
              </w:rPr>
              <w:t xml:space="preserve"> </w:t>
            </w:r>
          </w:p>
        </w:tc>
      </w:tr>
      <w:tr w:rsidR="008505F4" w14:paraId="14013F16" w14:textId="77777777" w:rsidTr="00003C98">
        <w:trPr>
          <w:trHeight w:val="289"/>
        </w:trPr>
        <w:tc>
          <w:tcPr>
            <w:tcW w:w="978" w:type="dxa"/>
            <w:gridSpan w:val="2"/>
            <w:tcBorders>
              <w:top w:val="single" w:sz="12" w:space="0" w:color="FFFFFF"/>
              <w:left w:val="single" w:sz="12" w:space="0" w:color="FFFFFF"/>
              <w:bottom w:val="single" w:sz="12" w:space="0" w:color="FFFFFF"/>
              <w:right w:val="single" w:sz="12" w:space="0" w:color="FFFFFF"/>
            </w:tcBorders>
            <w:tcMar>
              <w:top w:w="15" w:type="dxa"/>
              <w:left w:w="15" w:type="dxa"/>
              <w:right w:w="15" w:type="dxa"/>
            </w:tcMar>
            <w:vAlign w:val="center"/>
          </w:tcPr>
          <w:p w14:paraId="51BF448D" w14:textId="77777777" w:rsidR="008505F4" w:rsidRPr="002F3A23" w:rsidRDefault="008505F4" w:rsidP="00003C98">
            <w:pPr>
              <w:jc w:val="center"/>
              <w:textAlignment w:val="center"/>
              <w:rPr>
                <w:kern w:val="0"/>
                <w:szCs w:val="21"/>
              </w:rPr>
            </w:pPr>
            <w:r>
              <w:rPr>
                <w:kern w:val="0"/>
                <w:szCs w:val="21"/>
              </w:rPr>
              <w:t>联合组</w:t>
            </w:r>
            <w:r>
              <w:rPr>
                <w:rFonts w:hint="eastAsia"/>
                <w:kern w:val="0"/>
                <w:szCs w:val="21"/>
              </w:rPr>
              <w:t>(32)</w:t>
            </w:r>
          </w:p>
        </w:tc>
        <w:tc>
          <w:tcPr>
            <w:tcW w:w="925" w:type="dxa"/>
            <w:tcBorders>
              <w:top w:val="single" w:sz="12" w:space="0" w:color="FFFFFF"/>
              <w:left w:val="single" w:sz="12" w:space="0" w:color="FFFFFF"/>
              <w:bottom w:val="single" w:sz="12" w:space="0" w:color="FFFFFF"/>
              <w:right w:val="single" w:sz="12" w:space="0" w:color="FFFFFF"/>
            </w:tcBorders>
            <w:tcMar>
              <w:top w:w="15" w:type="dxa"/>
              <w:left w:w="15" w:type="dxa"/>
              <w:right w:w="15" w:type="dxa"/>
            </w:tcMar>
            <w:vAlign w:val="center"/>
          </w:tcPr>
          <w:p w14:paraId="31B5BDC0" w14:textId="77777777" w:rsidR="008505F4" w:rsidRDefault="008505F4" w:rsidP="00003C98">
            <w:pPr>
              <w:jc w:val="center"/>
              <w:textAlignment w:val="center"/>
              <w:rPr>
                <w:szCs w:val="21"/>
              </w:rPr>
            </w:pPr>
            <w:r>
              <w:rPr>
                <w:rFonts w:hint="eastAsia"/>
                <w:kern w:val="0"/>
                <w:szCs w:val="21"/>
              </w:rPr>
              <w:t>17/15</w:t>
            </w:r>
          </w:p>
        </w:tc>
        <w:tc>
          <w:tcPr>
            <w:tcW w:w="1081" w:type="dxa"/>
            <w:gridSpan w:val="2"/>
            <w:tcBorders>
              <w:top w:val="single" w:sz="12" w:space="0" w:color="FFFFFF"/>
              <w:left w:val="single" w:sz="12" w:space="0" w:color="FFFFFF"/>
              <w:bottom w:val="single" w:sz="12" w:space="0" w:color="FFFFFF"/>
              <w:right w:val="single" w:sz="12" w:space="0" w:color="FFFFFF"/>
            </w:tcBorders>
            <w:tcMar>
              <w:top w:w="15" w:type="dxa"/>
              <w:left w:w="15" w:type="dxa"/>
              <w:right w:w="15" w:type="dxa"/>
            </w:tcMar>
            <w:vAlign w:val="center"/>
          </w:tcPr>
          <w:p w14:paraId="243D3123" w14:textId="77777777" w:rsidR="008505F4" w:rsidRDefault="008505F4" w:rsidP="00003C98">
            <w:pPr>
              <w:jc w:val="center"/>
              <w:textAlignment w:val="center"/>
              <w:rPr>
                <w:szCs w:val="21"/>
              </w:rPr>
            </w:pPr>
            <w:r w:rsidRPr="002F3A23">
              <w:rPr>
                <w:kern w:val="0"/>
                <w:szCs w:val="21"/>
              </w:rPr>
              <w:t>56.0±10.1</w:t>
            </w:r>
            <w:r>
              <w:rPr>
                <w:rFonts w:hint="eastAsia"/>
                <w:bCs/>
              </w:rPr>
              <w:t>（</w:t>
            </w:r>
            <w:r w:rsidRPr="009209E2">
              <w:rPr>
                <w:rFonts w:hint="eastAsia"/>
                <w:bCs/>
              </w:rPr>
              <w:t>45</w:t>
            </w:r>
            <w:r w:rsidRPr="009209E2">
              <w:rPr>
                <w:rFonts w:hint="eastAsia"/>
                <w:bCs/>
              </w:rPr>
              <w:t>～</w:t>
            </w:r>
            <w:r w:rsidRPr="009209E2">
              <w:rPr>
                <w:rFonts w:hint="eastAsia"/>
                <w:bCs/>
              </w:rPr>
              <w:t>76</w:t>
            </w:r>
            <w:r>
              <w:rPr>
                <w:rFonts w:hint="eastAsia"/>
                <w:bCs/>
              </w:rPr>
              <w:t>）</w:t>
            </w:r>
          </w:p>
        </w:tc>
        <w:tc>
          <w:tcPr>
            <w:tcW w:w="1217" w:type="dxa"/>
            <w:tcBorders>
              <w:top w:val="single" w:sz="12" w:space="0" w:color="FFFFFF"/>
              <w:left w:val="single" w:sz="12" w:space="0" w:color="FFFFFF"/>
              <w:bottom w:val="single" w:sz="12" w:space="0" w:color="FFFFFF"/>
              <w:right w:val="single" w:sz="12" w:space="0" w:color="FFFFFF"/>
            </w:tcBorders>
          </w:tcPr>
          <w:p w14:paraId="5A92E301" w14:textId="77777777" w:rsidR="008505F4" w:rsidRDefault="008505F4" w:rsidP="00003C98">
            <w:pPr>
              <w:jc w:val="center"/>
              <w:textAlignment w:val="center"/>
              <w:rPr>
                <w:kern w:val="0"/>
                <w:szCs w:val="21"/>
              </w:rPr>
            </w:pPr>
            <w:r>
              <w:rPr>
                <w:rFonts w:hint="eastAsia"/>
                <w:kern w:val="0"/>
                <w:szCs w:val="21"/>
              </w:rPr>
              <w:t>6.5+1.5</w:t>
            </w:r>
          </w:p>
        </w:tc>
        <w:tc>
          <w:tcPr>
            <w:tcW w:w="1358" w:type="dxa"/>
            <w:tcBorders>
              <w:top w:val="single" w:sz="12" w:space="0" w:color="FFFFFF"/>
              <w:left w:val="single" w:sz="12" w:space="0" w:color="FFFFFF"/>
              <w:bottom w:val="single" w:sz="12" w:space="0" w:color="FFFFFF"/>
              <w:right w:val="single" w:sz="12" w:space="0" w:color="FFFFFF"/>
            </w:tcBorders>
          </w:tcPr>
          <w:p w14:paraId="501B8EA7" w14:textId="77777777" w:rsidR="008505F4" w:rsidRDefault="008505F4" w:rsidP="00003C98">
            <w:pPr>
              <w:jc w:val="center"/>
              <w:textAlignment w:val="center"/>
              <w:rPr>
                <w:kern w:val="0"/>
                <w:szCs w:val="21"/>
              </w:rPr>
            </w:pPr>
            <w:r>
              <w:rPr>
                <w:rFonts w:hint="eastAsia"/>
                <w:kern w:val="0"/>
                <w:szCs w:val="21"/>
              </w:rPr>
              <w:t>88</w:t>
            </w:r>
            <w:r>
              <w:rPr>
                <w:kern w:val="0"/>
                <w:szCs w:val="21"/>
              </w:rPr>
              <w:t>8.5±</w:t>
            </w:r>
            <w:r>
              <w:rPr>
                <w:rFonts w:hint="eastAsia"/>
                <w:kern w:val="0"/>
                <w:szCs w:val="21"/>
              </w:rPr>
              <w:t>61</w:t>
            </w:r>
            <w:r w:rsidRPr="00285E21">
              <w:rPr>
                <w:kern w:val="0"/>
                <w:szCs w:val="21"/>
              </w:rPr>
              <w:t>.6</w:t>
            </w:r>
          </w:p>
        </w:tc>
        <w:tc>
          <w:tcPr>
            <w:tcW w:w="1015" w:type="dxa"/>
            <w:tcBorders>
              <w:top w:val="single" w:sz="12" w:space="0" w:color="FFFFFF"/>
              <w:left w:val="single" w:sz="12" w:space="0" w:color="FFFFFF"/>
              <w:bottom w:val="single" w:sz="12" w:space="0" w:color="FFFFFF"/>
              <w:right w:val="single" w:sz="12" w:space="0" w:color="FFFFFF"/>
            </w:tcBorders>
            <w:tcMar>
              <w:top w:w="15" w:type="dxa"/>
              <w:left w:w="15" w:type="dxa"/>
              <w:right w:w="15" w:type="dxa"/>
            </w:tcMar>
            <w:vAlign w:val="center"/>
          </w:tcPr>
          <w:p w14:paraId="4C3C8F15" w14:textId="77777777" w:rsidR="008505F4" w:rsidRDefault="008505F4" w:rsidP="00003C98">
            <w:pPr>
              <w:jc w:val="center"/>
              <w:textAlignment w:val="center"/>
              <w:rPr>
                <w:szCs w:val="21"/>
              </w:rPr>
            </w:pPr>
            <w:r>
              <w:rPr>
                <w:kern w:val="0"/>
                <w:szCs w:val="21"/>
              </w:rPr>
              <w:t>5.</w:t>
            </w:r>
            <w:r>
              <w:rPr>
                <w:rFonts w:hint="eastAsia"/>
                <w:kern w:val="0"/>
                <w:szCs w:val="21"/>
              </w:rPr>
              <w:t>6</w:t>
            </w:r>
            <w:r w:rsidRPr="0024768C">
              <w:rPr>
                <w:kern w:val="0"/>
                <w:szCs w:val="21"/>
              </w:rPr>
              <w:t>±0.</w:t>
            </w:r>
            <w:r>
              <w:rPr>
                <w:rFonts w:hint="eastAsia"/>
                <w:kern w:val="0"/>
                <w:szCs w:val="21"/>
              </w:rPr>
              <w:t>6</w:t>
            </w:r>
          </w:p>
        </w:tc>
        <w:tc>
          <w:tcPr>
            <w:tcW w:w="1843" w:type="dxa"/>
            <w:tcBorders>
              <w:top w:val="single" w:sz="12" w:space="0" w:color="FFFFFF"/>
              <w:left w:val="single" w:sz="12" w:space="0" w:color="FFFFFF"/>
              <w:bottom w:val="single" w:sz="12" w:space="0" w:color="FFFFFF"/>
              <w:right w:val="single" w:sz="12" w:space="0" w:color="FFFFFF"/>
            </w:tcBorders>
            <w:tcMar>
              <w:top w:w="15" w:type="dxa"/>
              <w:left w:w="15" w:type="dxa"/>
              <w:right w:w="15" w:type="dxa"/>
            </w:tcMar>
            <w:vAlign w:val="center"/>
          </w:tcPr>
          <w:p w14:paraId="4A4A007B" w14:textId="77777777" w:rsidR="008505F4" w:rsidRDefault="008505F4" w:rsidP="00003C98">
            <w:pPr>
              <w:jc w:val="center"/>
              <w:rPr>
                <w:szCs w:val="21"/>
              </w:rPr>
            </w:pPr>
            <w:r>
              <w:rPr>
                <w:rFonts w:hint="eastAsia"/>
                <w:szCs w:val="21"/>
              </w:rPr>
              <w:t>9</w:t>
            </w:r>
            <w:r w:rsidRPr="0024768C">
              <w:rPr>
                <w:szCs w:val="21"/>
              </w:rPr>
              <w:t>.4±1.</w:t>
            </w:r>
            <w:r>
              <w:rPr>
                <w:rFonts w:hint="eastAsia"/>
                <w:szCs w:val="21"/>
              </w:rPr>
              <w:t>6</w:t>
            </w:r>
          </w:p>
        </w:tc>
      </w:tr>
      <w:tr w:rsidR="008505F4" w14:paraId="0AE76D2B" w14:textId="77777777" w:rsidTr="00003C98">
        <w:trPr>
          <w:trHeight w:val="289"/>
        </w:trPr>
        <w:tc>
          <w:tcPr>
            <w:tcW w:w="978" w:type="dxa"/>
            <w:gridSpan w:val="2"/>
            <w:tcBorders>
              <w:top w:val="single" w:sz="12" w:space="0" w:color="FFFFFF"/>
              <w:left w:val="single" w:sz="12" w:space="0" w:color="FFFFFF"/>
              <w:bottom w:val="single" w:sz="12" w:space="0" w:color="000000"/>
              <w:right w:val="single" w:sz="12" w:space="0" w:color="FFFFFF"/>
            </w:tcBorders>
            <w:tcMar>
              <w:top w:w="15" w:type="dxa"/>
              <w:left w:w="15" w:type="dxa"/>
              <w:right w:w="15" w:type="dxa"/>
            </w:tcMar>
            <w:vAlign w:val="center"/>
          </w:tcPr>
          <w:p w14:paraId="0EDDDEA6" w14:textId="77777777" w:rsidR="008505F4" w:rsidRDefault="008505F4" w:rsidP="00003C98">
            <w:pPr>
              <w:jc w:val="center"/>
              <w:textAlignment w:val="center"/>
              <w:rPr>
                <w:kern w:val="0"/>
                <w:szCs w:val="21"/>
              </w:rPr>
            </w:pPr>
            <w:r>
              <w:rPr>
                <w:rFonts w:hint="eastAsia"/>
                <w:kern w:val="0"/>
                <w:szCs w:val="21"/>
              </w:rPr>
              <w:t>P</w:t>
            </w:r>
            <w:r>
              <w:rPr>
                <w:rFonts w:hint="eastAsia"/>
                <w:kern w:val="0"/>
                <w:szCs w:val="21"/>
              </w:rPr>
              <w:t>值</w:t>
            </w:r>
          </w:p>
        </w:tc>
        <w:tc>
          <w:tcPr>
            <w:tcW w:w="925" w:type="dxa"/>
            <w:tcBorders>
              <w:top w:val="single" w:sz="12" w:space="0" w:color="FFFFFF"/>
              <w:left w:val="single" w:sz="12" w:space="0" w:color="FFFFFF"/>
              <w:bottom w:val="single" w:sz="12" w:space="0" w:color="000000"/>
              <w:right w:val="single" w:sz="12" w:space="0" w:color="FFFFFF"/>
            </w:tcBorders>
            <w:tcMar>
              <w:top w:w="15" w:type="dxa"/>
              <w:left w:w="15" w:type="dxa"/>
              <w:right w:w="15" w:type="dxa"/>
            </w:tcMar>
            <w:vAlign w:val="center"/>
          </w:tcPr>
          <w:p w14:paraId="70B34DDC" w14:textId="77777777" w:rsidR="008505F4" w:rsidRDefault="008505F4" w:rsidP="00003C98">
            <w:pPr>
              <w:jc w:val="center"/>
              <w:textAlignment w:val="center"/>
              <w:rPr>
                <w:kern w:val="0"/>
                <w:szCs w:val="21"/>
              </w:rPr>
            </w:pPr>
            <w:r w:rsidRPr="002F3A23">
              <w:rPr>
                <w:rFonts w:hint="eastAsia"/>
                <w:kern w:val="0"/>
                <w:szCs w:val="21"/>
              </w:rPr>
              <w:t>&gt;</w:t>
            </w:r>
            <w:r>
              <w:rPr>
                <w:rFonts w:hint="eastAsia"/>
                <w:kern w:val="0"/>
                <w:szCs w:val="21"/>
              </w:rPr>
              <w:t xml:space="preserve"> 0.05</w:t>
            </w:r>
          </w:p>
        </w:tc>
        <w:tc>
          <w:tcPr>
            <w:tcW w:w="1081" w:type="dxa"/>
            <w:gridSpan w:val="2"/>
            <w:tcBorders>
              <w:top w:val="single" w:sz="12" w:space="0" w:color="FFFFFF"/>
              <w:left w:val="single" w:sz="12" w:space="0" w:color="FFFFFF"/>
              <w:bottom w:val="single" w:sz="12" w:space="0" w:color="000000"/>
              <w:right w:val="single" w:sz="12" w:space="0" w:color="FFFFFF"/>
            </w:tcBorders>
            <w:tcMar>
              <w:top w:w="15" w:type="dxa"/>
              <w:left w:w="15" w:type="dxa"/>
              <w:right w:w="15" w:type="dxa"/>
            </w:tcMar>
            <w:vAlign w:val="center"/>
          </w:tcPr>
          <w:p w14:paraId="29BEDCAC" w14:textId="77777777" w:rsidR="008505F4" w:rsidRDefault="008505F4" w:rsidP="00003C98">
            <w:pPr>
              <w:jc w:val="center"/>
              <w:textAlignment w:val="center"/>
              <w:rPr>
                <w:kern w:val="0"/>
                <w:szCs w:val="21"/>
              </w:rPr>
            </w:pPr>
            <w:r w:rsidRPr="002F3A23">
              <w:rPr>
                <w:rFonts w:hint="eastAsia"/>
                <w:kern w:val="0"/>
                <w:szCs w:val="21"/>
              </w:rPr>
              <w:t>&gt;</w:t>
            </w:r>
            <w:r>
              <w:rPr>
                <w:rFonts w:hint="eastAsia"/>
                <w:kern w:val="0"/>
                <w:szCs w:val="21"/>
              </w:rPr>
              <w:t xml:space="preserve"> 0.05</w:t>
            </w:r>
          </w:p>
        </w:tc>
        <w:tc>
          <w:tcPr>
            <w:tcW w:w="1217" w:type="dxa"/>
            <w:tcBorders>
              <w:top w:val="single" w:sz="12" w:space="0" w:color="FFFFFF"/>
              <w:left w:val="single" w:sz="12" w:space="0" w:color="FFFFFF"/>
              <w:bottom w:val="single" w:sz="12" w:space="0" w:color="000000"/>
              <w:right w:val="single" w:sz="12" w:space="0" w:color="FFFFFF"/>
            </w:tcBorders>
          </w:tcPr>
          <w:p w14:paraId="1A246D9B" w14:textId="77777777" w:rsidR="008505F4" w:rsidRPr="002F3A23" w:rsidRDefault="008505F4" w:rsidP="00003C98">
            <w:pPr>
              <w:jc w:val="center"/>
              <w:textAlignment w:val="center"/>
              <w:rPr>
                <w:rFonts w:hint="eastAsia"/>
                <w:kern w:val="0"/>
                <w:szCs w:val="21"/>
              </w:rPr>
            </w:pPr>
            <w:r w:rsidRPr="002F3A23">
              <w:rPr>
                <w:rFonts w:hint="eastAsia"/>
                <w:kern w:val="0"/>
                <w:szCs w:val="21"/>
              </w:rPr>
              <w:t>&gt;</w:t>
            </w:r>
            <w:r>
              <w:rPr>
                <w:rFonts w:hint="eastAsia"/>
                <w:kern w:val="0"/>
                <w:szCs w:val="21"/>
              </w:rPr>
              <w:t xml:space="preserve"> 0.05</w:t>
            </w:r>
          </w:p>
        </w:tc>
        <w:tc>
          <w:tcPr>
            <w:tcW w:w="1358" w:type="dxa"/>
            <w:tcBorders>
              <w:top w:val="single" w:sz="12" w:space="0" w:color="FFFFFF"/>
              <w:left w:val="single" w:sz="12" w:space="0" w:color="FFFFFF"/>
              <w:bottom w:val="single" w:sz="12" w:space="0" w:color="000000"/>
              <w:right w:val="single" w:sz="12" w:space="0" w:color="FFFFFF"/>
            </w:tcBorders>
          </w:tcPr>
          <w:p w14:paraId="028D92DA" w14:textId="77777777" w:rsidR="008505F4" w:rsidRPr="002F3A23" w:rsidRDefault="008505F4" w:rsidP="00003C98">
            <w:pPr>
              <w:jc w:val="center"/>
              <w:textAlignment w:val="center"/>
              <w:rPr>
                <w:rFonts w:hint="eastAsia"/>
                <w:kern w:val="0"/>
                <w:szCs w:val="21"/>
              </w:rPr>
            </w:pPr>
            <w:r w:rsidRPr="001D7A27">
              <w:rPr>
                <w:kern w:val="0"/>
                <w:szCs w:val="21"/>
              </w:rPr>
              <w:t>&gt; 0.05</w:t>
            </w:r>
          </w:p>
        </w:tc>
        <w:tc>
          <w:tcPr>
            <w:tcW w:w="1015" w:type="dxa"/>
            <w:tcBorders>
              <w:top w:val="single" w:sz="12" w:space="0" w:color="FFFFFF"/>
              <w:left w:val="single" w:sz="12" w:space="0" w:color="FFFFFF"/>
              <w:bottom w:val="single" w:sz="12" w:space="0" w:color="000000"/>
              <w:right w:val="single" w:sz="12" w:space="0" w:color="FFFFFF"/>
            </w:tcBorders>
            <w:tcMar>
              <w:top w:w="15" w:type="dxa"/>
              <w:left w:w="15" w:type="dxa"/>
              <w:right w:w="15" w:type="dxa"/>
            </w:tcMar>
            <w:vAlign w:val="center"/>
          </w:tcPr>
          <w:p w14:paraId="0C4769E0" w14:textId="77777777" w:rsidR="008505F4" w:rsidRDefault="008505F4" w:rsidP="00003C98">
            <w:pPr>
              <w:jc w:val="center"/>
              <w:textAlignment w:val="center"/>
              <w:rPr>
                <w:kern w:val="0"/>
                <w:szCs w:val="21"/>
              </w:rPr>
            </w:pPr>
            <w:r w:rsidRPr="002F3A23">
              <w:rPr>
                <w:rFonts w:hint="eastAsia"/>
                <w:kern w:val="0"/>
                <w:szCs w:val="21"/>
              </w:rPr>
              <w:t>&gt;</w:t>
            </w:r>
            <w:r>
              <w:rPr>
                <w:rFonts w:hint="eastAsia"/>
                <w:kern w:val="0"/>
                <w:szCs w:val="21"/>
              </w:rPr>
              <w:t xml:space="preserve"> 0.05</w:t>
            </w:r>
          </w:p>
        </w:tc>
        <w:tc>
          <w:tcPr>
            <w:tcW w:w="1843" w:type="dxa"/>
            <w:tcBorders>
              <w:top w:val="single" w:sz="12" w:space="0" w:color="FFFFFF"/>
              <w:left w:val="single" w:sz="12" w:space="0" w:color="FFFFFF"/>
              <w:bottom w:val="single" w:sz="12" w:space="0" w:color="000000"/>
              <w:right w:val="single" w:sz="12" w:space="0" w:color="FFFFFF"/>
            </w:tcBorders>
            <w:tcMar>
              <w:top w:w="15" w:type="dxa"/>
              <w:left w:w="15" w:type="dxa"/>
              <w:right w:w="15" w:type="dxa"/>
            </w:tcMar>
            <w:vAlign w:val="center"/>
          </w:tcPr>
          <w:p w14:paraId="2AB55E17" w14:textId="77777777" w:rsidR="008505F4" w:rsidRDefault="008505F4" w:rsidP="00003C98">
            <w:pPr>
              <w:jc w:val="center"/>
              <w:rPr>
                <w:szCs w:val="21"/>
              </w:rPr>
            </w:pPr>
            <w:r w:rsidRPr="002F3A23">
              <w:rPr>
                <w:rFonts w:hint="eastAsia"/>
                <w:kern w:val="0"/>
                <w:szCs w:val="21"/>
              </w:rPr>
              <w:t>&gt;</w:t>
            </w:r>
            <w:r>
              <w:rPr>
                <w:rFonts w:hint="eastAsia"/>
                <w:kern w:val="0"/>
                <w:szCs w:val="21"/>
              </w:rPr>
              <w:t xml:space="preserve"> 0.05</w:t>
            </w:r>
          </w:p>
        </w:tc>
      </w:tr>
    </w:tbl>
    <w:p w14:paraId="6B53C686" w14:textId="77777777" w:rsidR="008505F4" w:rsidRDefault="008505F4" w:rsidP="008505F4">
      <w:pPr>
        <w:rPr>
          <w:rFonts w:hint="eastAsia"/>
          <w:b/>
          <w:bCs/>
        </w:rPr>
      </w:pPr>
    </w:p>
    <w:p w14:paraId="07F3F835" w14:textId="77777777" w:rsidR="008505F4" w:rsidRDefault="008505F4" w:rsidP="008505F4">
      <w:pPr>
        <w:rPr>
          <w:rFonts w:hint="eastAsia"/>
        </w:rPr>
      </w:pPr>
      <w:r>
        <w:rPr>
          <w:rFonts w:hint="eastAsia"/>
          <w:b/>
          <w:bCs/>
        </w:rPr>
        <w:t>2</w:t>
      </w:r>
      <w:r>
        <w:rPr>
          <w:rFonts w:hint="eastAsia"/>
          <w:b/>
          <w:bCs/>
        </w:rPr>
        <w:t>．</w:t>
      </w:r>
      <w:r>
        <w:rPr>
          <w:rFonts w:hint="eastAsia"/>
          <w:b/>
          <w:bCs/>
        </w:rPr>
        <w:t xml:space="preserve">2 </w:t>
      </w:r>
      <w:r>
        <w:rPr>
          <w:rFonts w:hint="eastAsia"/>
          <w:b/>
          <w:bCs/>
        </w:rPr>
        <w:t>临床病症消失时间</w:t>
      </w:r>
    </w:p>
    <w:p w14:paraId="3585CC2A" w14:textId="77777777" w:rsidR="008505F4" w:rsidRDefault="008505F4" w:rsidP="008505F4">
      <w:pPr>
        <w:ind w:firstLineChars="200" w:firstLine="480"/>
        <w:rPr>
          <w:rFonts w:hint="eastAsia"/>
        </w:rPr>
      </w:pPr>
      <w:r>
        <w:rPr>
          <w:rFonts w:hint="eastAsia"/>
        </w:rPr>
        <w:t>如表</w:t>
      </w:r>
      <w:r>
        <w:rPr>
          <w:rFonts w:hint="eastAsia"/>
        </w:rPr>
        <w:t>2</w:t>
      </w:r>
      <w:r>
        <w:rPr>
          <w:rFonts w:hint="eastAsia"/>
        </w:rPr>
        <w:t>所示，两组患者在症状消失及恢复肛门排气时间方面比较，差异并无统计学意义（</w:t>
      </w:r>
      <w:r>
        <w:rPr>
          <w:rFonts w:hint="eastAsia"/>
        </w:rPr>
        <w:t>P&gt;0.05</w:t>
      </w:r>
      <w:r>
        <w:rPr>
          <w:rFonts w:hint="eastAsia"/>
        </w:rPr>
        <w:t>）。而联合组在体征消失以及患者平均住院时间方面，均明显短于对照组</w:t>
      </w:r>
      <w:r>
        <w:rPr>
          <w:rFonts w:hint="eastAsia"/>
        </w:rPr>
        <w:t xml:space="preserve"> (</w:t>
      </w:r>
      <w:r>
        <w:rPr>
          <w:rFonts w:hint="eastAsia"/>
          <w:i/>
          <w:iCs/>
        </w:rPr>
        <w:t>P</w:t>
      </w:r>
      <w:r>
        <w:rPr>
          <w:rFonts w:hint="eastAsia"/>
        </w:rPr>
        <w:t>&lt;0.05)</w:t>
      </w:r>
      <w:r>
        <w:rPr>
          <w:rFonts w:hint="eastAsia"/>
        </w:rPr>
        <w:t>。</w:t>
      </w:r>
    </w:p>
    <w:p w14:paraId="68F648F6" w14:textId="77777777" w:rsidR="008505F4" w:rsidRDefault="008505F4" w:rsidP="008505F4">
      <w:pPr>
        <w:ind w:firstLineChars="200" w:firstLine="480"/>
        <w:rPr>
          <w:rFonts w:hint="eastAsia"/>
        </w:rPr>
      </w:pPr>
    </w:p>
    <w:p w14:paraId="4B5A002D" w14:textId="77777777" w:rsidR="008505F4" w:rsidRDefault="008505F4" w:rsidP="008505F4">
      <w:pPr>
        <w:jc w:val="center"/>
      </w:pPr>
      <w:r>
        <w:t>表</w:t>
      </w:r>
      <w:r>
        <w:rPr>
          <w:rFonts w:hint="eastAsia"/>
        </w:rPr>
        <w:t>2</w:t>
      </w:r>
      <w:r>
        <w:t xml:space="preserve">. </w:t>
      </w:r>
      <w:r>
        <w:t>二组患者治疗后腹胀、腹痛、排气恢复以及平均住院时间比较</w:t>
      </w:r>
    </w:p>
    <w:tbl>
      <w:tblPr>
        <w:tblW w:w="0" w:type="auto"/>
        <w:tblInd w:w="-30" w:type="dxa"/>
        <w:tblLayout w:type="fixed"/>
        <w:tblCellMar>
          <w:left w:w="0" w:type="dxa"/>
          <w:right w:w="0" w:type="dxa"/>
        </w:tblCellMar>
        <w:tblLook w:val="0000" w:firstRow="0" w:lastRow="0" w:firstColumn="0" w:lastColumn="0" w:noHBand="0" w:noVBand="0"/>
      </w:tblPr>
      <w:tblGrid>
        <w:gridCol w:w="1080"/>
        <w:gridCol w:w="1758"/>
        <w:gridCol w:w="1678"/>
        <w:gridCol w:w="1895"/>
        <w:gridCol w:w="1882"/>
      </w:tblGrid>
      <w:tr w:rsidR="008505F4" w14:paraId="4B282862" w14:textId="77777777" w:rsidTr="00003C98">
        <w:trPr>
          <w:trHeight w:val="285"/>
        </w:trPr>
        <w:tc>
          <w:tcPr>
            <w:tcW w:w="1080" w:type="dxa"/>
            <w:tcBorders>
              <w:top w:val="single" w:sz="12" w:space="0" w:color="000000"/>
              <w:left w:val="single" w:sz="12" w:space="0" w:color="FFFFFF"/>
              <w:bottom w:val="single" w:sz="12" w:space="0" w:color="000000"/>
              <w:right w:val="single" w:sz="12" w:space="0" w:color="FFFFFF"/>
            </w:tcBorders>
            <w:tcMar>
              <w:top w:w="15" w:type="dxa"/>
              <w:left w:w="15" w:type="dxa"/>
              <w:right w:w="15" w:type="dxa"/>
            </w:tcMar>
            <w:vAlign w:val="center"/>
          </w:tcPr>
          <w:p w14:paraId="56C58D05" w14:textId="77777777" w:rsidR="008505F4" w:rsidRDefault="008505F4" w:rsidP="00003C98">
            <w:pPr>
              <w:jc w:val="left"/>
              <w:textAlignment w:val="center"/>
              <w:rPr>
                <w:szCs w:val="21"/>
              </w:rPr>
            </w:pPr>
            <w:r>
              <w:rPr>
                <w:kern w:val="0"/>
                <w:szCs w:val="21"/>
              </w:rPr>
              <w:lastRenderedPageBreak/>
              <w:t>组别</w:t>
            </w:r>
            <w:r>
              <w:rPr>
                <w:rFonts w:hint="eastAsia"/>
                <w:kern w:val="0"/>
                <w:szCs w:val="21"/>
              </w:rPr>
              <w:t>（</w:t>
            </w:r>
            <w:r>
              <w:rPr>
                <w:rFonts w:hint="eastAsia"/>
                <w:kern w:val="0"/>
                <w:szCs w:val="21"/>
              </w:rPr>
              <w:t>n</w:t>
            </w:r>
            <w:r>
              <w:rPr>
                <w:rFonts w:hint="eastAsia"/>
                <w:kern w:val="0"/>
                <w:szCs w:val="21"/>
              </w:rPr>
              <w:t>）</w:t>
            </w:r>
          </w:p>
        </w:tc>
        <w:tc>
          <w:tcPr>
            <w:tcW w:w="1758" w:type="dxa"/>
            <w:tcBorders>
              <w:top w:val="single" w:sz="12" w:space="0" w:color="000000"/>
              <w:left w:val="single" w:sz="12" w:space="0" w:color="FFFFFF"/>
              <w:bottom w:val="single" w:sz="12" w:space="0" w:color="000000"/>
              <w:right w:val="single" w:sz="12" w:space="0" w:color="FFFFFF"/>
            </w:tcBorders>
            <w:tcMar>
              <w:top w:w="15" w:type="dxa"/>
              <w:left w:w="15" w:type="dxa"/>
              <w:right w:w="15" w:type="dxa"/>
            </w:tcMar>
            <w:vAlign w:val="center"/>
          </w:tcPr>
          <w:p w14:paraId="73BFEE60" w14:textId="77777777" w:rsidR="008505F4" w:rsidRDefault="008505F4" w:rsidP="00003C98">
            <w:pPr>
              <w:jc w:val="left"/>
              <w:textAlignment w:val="center"/>
              <w:rPr>
                <w:szCs w:val="21"/>
              </w:rPr>
            </w:pPr>
            <w:r>
              <w:rPr>
                <w:rFonts w:hint="eastAsia"/>
                <w:kern w:val="0"/>
                <w:szCs w:val="21"/>
              </w:rPr>
              <w:t>症状</w:t>
            </w:r>
            <w:r w:rsidRPr="00F65303">
              <w:rPr>
                <w:rFonts w:hint="eastAsia"/>
                <w:kern w:val="0"/>
                <w:szCs w:val="21"/>
                <w:vertAlign w:val="superscript"/>
              </w:rPr>
              <w:t>*</w:t>
            </w:r>
            <w:r>
              <w:rPr>
                <w:kern w:val="0"/>
                <w:szCs w:val="21"/>
              </w:rPr>
              <w:t>消失</w:t>
            </w:r>
            <w:r>
              <w:rPr>
                <w:rFonts w:hint="eastAsia"/>
                <w:kern w:val="0"/>
                <w:szCs w:val="21"/>
              </w:rPr>
              <w:t>（天）</w:t>
            </w:r>
          </w:p>
        </w:tc>
        <w:tc>
          <w:tcPr>
            <w:tcW w:w="1678" w:type="dxa"/>
            <w:tcBorders>
              <w:top w:val="single" w:sz="12" w:space="0" w:color="000000"/>
              <w:left w:val="single" w:sz="12" w:space="0" w:color="FFFFFF"/>
              <w:bottom w:val="single" w:sz="12" w:space="0" w:color="000000"/>
              <w:right w:val="single" w:sz="12" w:space="0" w:color="FFFFFF"/>
            </w:tcBorders>
            <w:tcMar>
              <w:top w:w="15" w:type="dxa"/>
              <w:left w:w="15" w:type="dxa"/>
              <w:right w:w="15" w:type="dxa"/>
            </w:tcMar>
            <w:vAlign w:val="center"/>
          </w:tcPr>
          <w:p w14:paraId="2528D8DB" w14:textId="77777777" w:rsidR="008505F4" w:rsidRDefault="008505F4" w:rsidP="00003C98">
            <w:pPr>
              <w:jc w:val="left"/>
              <w:textAlignment w:val="center"/>
              <w:rPr>
                <w:szCs w:val="21"/>
              </w:rPr>
            </w:pPr>
            <w:r>
              <w:rPr>
                <w:rFonts w:hint="eastAsia"/>
                <w:kern w:val="0"/>
                <w:szCs w:val="21"/>
              </w:rPr>
              <w:t>体征</w:t>
            </w:r>
            <w:r w:rsidRPr="00F65303">
              <w:rPr>
                <w:rFonts w:hint="eastAsia"/>
                <w:kern w:val="0"/>
                <w:szCs w:val="21"/>
                <w:vertAlign w:val="superscript"/>
              </w:rPr>
              <w:t>**</w:t>
            </w:r>
            <w:r>
              <w:rPr>
                <w:kern w:val="0"/>
                <w:szCs w:val="21"/>
              </w:rPr>
              <w:t>消失</w:t>
            </w:r>
            <w:r>
              <w:rPr>
                <w:rFonts w:hint="eastAsia"/>
                <w:kern w:val="0"/>
                <w:szCs w:val="21"/>
              </w:rPr>
              <w:t>（天）</w:t>
            </w:r>
          </w:p>
        </w:tc>
        <w:tc>
          <w:tcPr>
            <w:tcW w:w="1895" w:type="dxa"/>
            <w:tcBorders>
              <w:top w:val="single" w:sz="12" w:space="0" w:color="000000"/>
              <w:left w:val="single" w:sz="12" w:space="0" w:color="FFFFFF"/>
              <w:bottom w:val="single" w:sz="12" w:space="0" w:color="000000"/>
              <w:right w:val="single" w:sz="12" w:space="0" w:color="FFFFFF"/>
            </w:tcBorders>
            <w:tcMar>
              <w:top w:w="15" w:type="dxa"/>
              <w:left w:w="15" w:type="dxa"/>
              <w:right w:w="15" w:type="dxa"/>
            </w:tcMar>
            <w:vAlign w:val="center"/>
          </w:tcPr>
          <w:p w14:paraId="2B140654" w14:textId="77777777" w:rsidR="008505F4" w:rsidRDefault="008505F4" w:rsidP="00003C98">
            <w:pPr>
              <w:jc w:val="left"/>
              <w:textAlignment w:val="center"/>
              <w:rPr>
                <w:szCs w:val="21"/>
              </w:rPr>
            </w:pPr>
            <w:r>
              <w:rPr>
                <w:kern w:val="0"/>
                <w:szCs w:val="21"/>
              </w:rPr>
              <w:t>恢复</w:t>
            </w:r>
            <w:r>
              <w:rPr>
                <w:rFonts w:hint="eastAsia"/>
                <w:kern w:val="0"/>
                <w:szCs w:val="21"/>
              </w:rPr>
              <w:t>排气</w:t>
            </w:r>
            <w:r>
              <w:rPr>
                <w:kern w:val="0"/>
                <w:szCs w:val="21"/>
              </w:rPr>
              <w:t>时间</w:t>
            </w:r>
            <w:r>
              <w:rPr>
                <w:rFonts w:hint="eastAsia"/>
                <w:kern w:val="0"/>
                <w:szCs w:val="21"/>
              </w:rPr>
              <w:t>（天）</w:t>
            </w:r>
          </w:p>
        </w:tc>
        <w:tc>
          <w:tcPr>
            <w:tcW w:w="1882" w:type="dxa"/>
            <w:tcBorders>
              <w:top w:val="single" w:sz="12" w:space="0" w:color="000000"/>
              <w:left w:val="single" w:sz="12" w:space="0" w:color="FFFFFF"/>
              <w:bottom w:val="single" w:sz="12" w:space="0" w:color="000000"/>
              <w:right w:val="single" w:sz="12" w:space="0" w:color="FFFFFF"/>
            </w:tcBorders>
            <w:tcMar>
              <w:top w:w="15" w:type="dxa"/>
              <w:left w:w="15" w:type="dxa"/>
              <w:right w:w="15" w:type="dxa"/>
            </w:tcMar>
            <w:vAlign w:val="center"/>
          </w:tcPr>
          <w:p w14:paraId="3A4383E8" w14:textId="77777777" w:rsidR="008505F4" w:rsidRDefault="008505F4" w:rsidP="00003C98">
            <w:pPr>
              <w:jc w:val="left"/>
              <w:textAlignment w:val="center"/>
              <w:rPr>
                <w:szCs w:val="21"/>
              </w:rPr>
            </w:pPr>
            <w:r>
              <w:rPr>
                <w:kern w:val="0"/>
                <w:szCs w:val="21"/>
              </w:rPr>
              <w:t>平均住院天数</w:t>
            </w:r>
          </w:p>
        </w:tc>
      </w:tr>
      <w:tr w:rsidR="008505F4" w14:paraId="3F3CCE04" w14:textId="77777777" w:rsidTr="00003C98">
        <w:trPr>
          <w:trHeight w:val="285"/>
        </w:trPr>
        <w:tc>
          <w:tcPr>
            <w:tcW w:w="1080" w:type="dxa"/>
            <w:tcBorders>
              <w:top w:val="single" w:sz="12" w:space="0" w:color="000000"/>
              <w:left w:val="single" w:sz="12" w:space="0" w:color="FFFFFF"/>
              <w:bottom w:val="single" w:sz="12" w:space="0" w:color="FFFFFF"/>
              <w:right w:val="single" w:sz="12" w:space="0" w:color="FFFFFF"/>
            </w:tcBorders>
            <w:tcMar>
              <w:top w:w="15" w:type="dxa"/>
              <w:left w:w="15" w:type="dxa"/>
              <w:right w:w="15" w:type="dxa"/>
            </w:tcMar>
            <w:vAlign w:val="center"/>
          </w:tcPr>
          <w:p w14:paraId="5EA20DEB" w14:textId="77777777" w:rsidR="008505F4" w:rsidRDefault="008505F4" w:rsidP="00003C98">
            <w:pPr>
              <w:jc w:val="left"/>
              <w:textAlignment w:val="center"/>
              <w:rPr>
                <w:szCs w:val="21"/>
              </w:rPr>
            </w:pPr>
            <w:r>
              <w:rPr>
                <w:kern w:val="0"/>
                <w:szCs w:val="21"/>
              </w:rPr>
              <w:t>对照组</w:t>
            </w:r>
            <w:r>
              <w:rPr>
                <w:rFonts w:hint="eastAsia"/>
                <w:kern w:val="0"/>
                <w:szCs w:val="21"/>
              </w:rPr>
              <w:t>(32)</w:t>
            </w:r>
          </w:p>
        </w:tc>
        <w:tc>
          <w:tcPr>
            <w:tcW w:w="1758" w:type="dxa"/>
            <w:tcBorders>
              <w:top w:val="single" w:sz="12" w:space="0" w:color="000000"/>
              <w:left w:val="single" w:sz="12" w:space="0" w:color="FFFFFF"/>
              <w:bottom w:val="single" w:sz="12" w:space="0" w:color="FFFFFF"/>
              <w:right w:val="single" w:sz="12" w:space="0" w:color="FFFFFF"/>
            </w:tcBorders>
            <w:tcMar>
              <w:top w:w="15" w:type="dxa"/>
              <w:left w:w="15" w:type="dxa"/>
              <w:right w:w="15" w:type="dxa"/>
            </w:tcMar>
            <w:vAlign w:val="center"/>
          </w:tcPr>
          <w:p w14:paraId="09FCD3CE" w14:textId="77777777" w:rsidR="008505F4" w:rsidRDefault="008505F4" w:rsidP="00003C98">
            <w:pPr>
              <w:jc w:val="left"/>
              <w:textAlignment w:val="center"/>
              <w:rPr>
                <w:szCs w:val="21"/>
              </w:rPr>
            </w:pPr>
            <w:r>
              <w:rPr>
                <w:kern w:val="0"/>
                <w:szCs w:val="21"/>
              </w:rPr>
              <w:t>7.</w:t>
            </w:r>
            <w:r>
              <w:rPr>
                <w:rFonts w:hint="eastAsia"/>
                <w:kern w:val="0"/>
                <w:szCs w:val="21"/>
              </w:rPr>
              <w:t>0</w:t>
            </w:r>
            <w:r>
              <w:rPr>
                <w:kern w:val="0"/>
                <w:szCs w:val="21"/>
              </w:rPr>
              <w:t>±1.3</w:t>
            </w:r>
          </w:p>
        </w:tc>
        <w:tc>
          <w:tcPr>
            <w:tcW w:w="1678" w:type="dxa"/>
            <w:tcBorders>
              <w:top w:val="single" w:sz="12" w:space="0" w:color="000000"/>
              <w:left w:val="single" w:sz="12" w:space="0" w:color="FFFFFF"/>
              <w:bottom w:val="single" w:sz="12" w:space="0" w:color="FFFFFF"/>
              <w:right w:val="single" w:sz="12" w:space="0" w:color="FFFFFF"/>
            </w:tcBorders>
            <w:tcMar>
              <w:top w:w="15" w:type="dxa"/>
              <w:left w:w="15" w:type="dxa"/>
              <w:right w:w="15" w:type="dxa"/>
            </w:tcMar>
            <w:vAlign w:val="center"/>
          </w:tcPr>
          <w:p w14:paraId="43563ABC" w14:textId="77777777" w:rsidR="008505F4" w:rsidRDefault="008505F4" w:rsidP="00003C98">
            <w:pPr>
              <w:jc w:val="left"/>
              <w:textAlignment w:val="center"/>
              <w:rPr>
                <w:szCs w:val="21"/>
              </w:rPr>
            </w:pPr>
            <w:r>
              <w:rPr>
                <w:kern w:val="0"/>
                <w:szCs w:val="21"/>
              </w:rPr>
              <w:t>6.7±1.2</w:t>
            </w:r>
          </w:p>
        </w:tc>
        <w:tc>
          <w:tcPr>
            <w:tcW w:w="1895" w:type="dxa"/>
            <w:tcBorders>
              <w:top w:val="single" w:sz="12" w:space="0" w:color="000000"/>
              <w:left w:val="single" w:sz="12" w:space="0" w:color="FFFFFF"/>
              <w:bottom w:val="single" w:sz="12" w:space="0" w:color="FFFFFF"/>
              <w:right w:val="single" w:sz="12" w:space="0" w:color="FFFFFF"/>
            </w:tcBorders>
            <w:tcMar>
              <w:top w:w="15" w:type="dxa"/>
              <w:left w:w="15" w:type="dxa"/>
              <w:right w:w="15" w:type="dxa"/>
            </w:tcMar>
            <w:vAlign w:val="center"/>
          </w:tcPr>
          <w:p w14:paraId="5E182147" w14:textId="77777777" w:rsidR="008505F4" w:rsidRDefault="008505F4" w:rsidP="00003C98">
            <w:pPr>
              <w:jc w:val="left"/>
              <w:textAlignment w:val="center"/>
              <w:rPr>
                <w:szCs w:val="21"/>
              </w:rPr>
            </w:pPr>
            <w:r>
              <w:rPr>
                <w:rFonts w:hint="eastAsia"/>
                <w:kern w:val="0"/>
                <w:szCs w:val="21"/>
              </w:rPr>
              <w:t>6</w:t>
            </w:r>
            <w:r>
              <w:rPr>
                <w:kern w:val="0"/>
                <w:szCs w:val="21"/>
              </w:rPr>
              <w:t>.</w:t>
            </w:r>
            <w:r>
              <w:rPr>
                <w:rFonts w:hint="eastAsia"/>
                <w:kern w:val="0"/>
                <w:szCs w:val="21"/>
              </w:rPr>
              <w:t>2</w:t>
            </w:r>
            <w:r>
              <w:rPr>
                <w:kern w:val="0"/>
                <w:szCs w:val="21"/>
              </w:rPr>
              <w:t>±1.</w:t>
            </w:r>
            <w:r>
              <w:rPr>
                <w:rFonts w:hint="eastAsia"/>
                <w:kern w:val="0"/>
                <w:szCs w:val="21"/>
              </w:rPr>
              <w:t>5</w:t>
            </w:r>
          </w:p>
        </w:tc>
        <w:tc>
          <w:tcPr>
            <w:tcW w:w="1882" w:type="dxa"/>
            <w:tcBorders>
              <w:top w:val="single" w:sz="12" w:space="0" w:color="000000"/>
              <w:left w:val="single" w:sz="12" w:space="0" w:color="FFFFFF"/>
              <w:bottom w:val="single" w:sz="12" w:space="0" w:color="FFFFFF"/>
              <w:right w:val="single" w:sz="12" w:space="0" w:color="FFFFFF"/>
            </w:tcBorders>
            <w:tcMar>
              <w:top w:w="15" w:type="dxa"/>
              <w:left w:w="15" w:type="dxa"/>
              <w:right w:w="15" w:type="dxa"/>
            </w:tcMar>
            <w:vAlign w:val="center"/>
          </w:tcPr>
          <w:p w14:paraId="5EC1789B" w14:textId="77777777" w:rsidR="008505F4" w:rsidRDefault="008505F4" w:rsidP="00003C98">
            <w:pPr>
              <w:jc w:val="left"/>
              <w:textAlignment w:val="center"/>
              <w:rPr>
                <w:szCs w:val="21"/>
              </w:rPr>
            </w:pPr>
            <w:r>
              <w:rPr>
                <w:kern w:val="0"/>
                <w:szCs w:val="21"/>
              </w:rPr>
              <w:t>15.4±5.4</w:t>
            </w:r>
          </w:p>
        </w:tc>
      </w:tr>
      <w:tr w:rsidR="008505F4" w14:paraId="2D02DDA5" w14:textId="77777777" w:rsidTr="00003C98">
        <w:trPr>
          <w:trHeight w:val="285"/>
        </w:trPr>
        <w:tc>
          <w:tcPr>
            <w:tcW w:w="1080" w:type="dxa"/>
            <w:tcBorders>
              <w:top w:val="single" w:sz="12" w:space="0" w:color="FFFFFF"/>
              <w:left w:val="single" w:sz="12" w:space="0" w:color="FFFFFF"/>
              <w:bottom w:val="single" w:sz="12" w:space="0" w:color="FFFFFF"/>
              <w:right w:val="single" w:sz="12" w:space="0" w:color="FFFFFF"/>
            </w:tcBorders>
            <w:tcMar>
              <w:top w:w="15" w:type="dxa"/>
              <w:left w:w="15" w:type="dxa"/>
              <w:right w:w="15" w:type="dxa"/>
            </w:tcMar>
            <w:vAlign w:val="center"/>
          </w:tcPr>
          <w:p w14:paraId="1AB84506" w14:textId="77777777" w:rsidR="008505F4" w:rsidRDefault="008505F4" w:rsidP="00003C98">
            <w:pPr>
              <w:jc w:val="left"/>
              <w:textAlignment w:val="center"/>
              <w:rPr>
                <w:szCs w:val="21"/>
              </w:rPr>
            </w:pPr>
            <w:r>
              <w:rPr>
                <w:kern w:val="0"/>
                <w:szCs w:val="21"/>
              </w:rPr>
              <w:t>联合组</w:t>
            </w:r>
            <w:r>
              <w:rPr>
                <w:rFonts w:hint="eastAsia"/>
                <w:kern w:val="0"/>
                <w:szCs w:val="21"/>
              </w:rPr>
              <w:t>(32)</w:t>
            </w:r>
          </w:p>
        </w:tc>
        <w:tc>
          <w:tcPr>
            <w:tcW w:w="1758" w:type="dxa"/>
            <w:tcBorders>
              <w:top w:val="single" w:sz="12" w:space="0" w:color="FFFFFF"/>
              <w:left w:val="single" w:sz="12" w:space="0" w:color="FFFFFF"/>
              <w:bottom w:val="single" w:sz="12" w:space="0" w:color="FFFFFF"/>
              <w:right w:val="single" w:sz="12" w:space="0" w:color="FFFFFF"/>
            </w:tcBorders>
            <w:tcMar>
              <w:top w:w="15" w:type="dxa"/>
              <w:left w:w="15" w:type="dxa"/>
              <w:right w:w="15" w:type="dxa"/>
            </w:tcMar>
            <w:vAlign w:val="center"/>
          </w:tcPr>
          <w:p w14:paraId="2A3CBB4B" w14:textId="77777777" w:rsidR="008505F4" w:rsidRDefault="008505F4" w:rsidP="00003C98">
            <w:pPr>
              <w:jc w:val="left"/>
              <w:textAlignment w:val="center"/>
              <w:rPr>
                <w:szCs w:val="21"/>
              </w:rPr>
            </w:pPr>
            <w:r>
              <w:rPr>
                <w:rFonts w:hint="eastAsia"/>
                <w:kern w:val="0"/>
                <w:szCs w:val="21"/>
              </w:rPr>
              <w:t>6</w:t>
            </w:r>
            <w:r>
              <w:rPr>
                <w:kern w:val="0"/>
                <w:szCs w:val="21"/>
              </w:rPr>
              <w:t>.</w:t>
            </w:r>
            <w:r>
              <w:rPr>
                <w:rFonts w:hint="eastAsia"/>
                <w:kern w:val="0"/>
                <w:szCs w:val="21"/>
              </w:rPr>
              <w:t>8</w:t>
            </w:r>
            <w:r>
              <w:rPr>
                <w:kern w:val="0"/>
                <w:szCs w:val="21"/>
              </w:rPr>
              <w:t>±1.1</w:t>
            </w:r>
          </w:p>
        </w:tc>
        <w:tc>
          <w:tcPr>
            <w:tcW w:w="1678" w:type="dxa"/>
            <w:tcBorders>
              <w:top w:val="single" w:sz="12" w:space="0" w:color="FFFFFF"/>
              <w:left w:val="single" w:sz="12" w:space="0" w:color="FFFFFF"/>
              <w:bottom w:val="single" w:sz="12" w:space="0" w:color="FFFFFF"/>
              <w:right w:val="single" w:sz="12" w:space="0" w:color="FFFFFF"/>
            </w:tcBorders>
            <w:tcMar>
              <w:top w:w="15" w:type="dxa"/>
              <w:left w:w="15" w:type="dxa"/>
              <w:right w:w="15" w:type="dxa"/>
            </w:tcMar>
            <w:vAlign w:val="center"/>
          </w:tcPr>
          <w:p w14:paraId="76E9E3FD" w14:textId="77777777" w:rsidR="008505F4" w:rsidRDefault="008505F4" w:rsidP="00003C98">
            <w:pPr>
              <w:jc w:val="left"/>
              <w:textAlignment w:val="center"/>
              <w:rPr>
                <w:szCs w:val="21"/>
              </w:rPr>
            </w:pPr>
            <w:r>
              <w:rPr>
                <w:kern w:val="0"/>
                <w:szCs w:val="21"/>
              </w:rPr>
              <w:t>5.1±1.0</w:t>
            </w:r>
          </w:p>
        </w:tc>
        <w:tc>
          <w:tcPr>
            <w:tcW w:w="1895" w:type="dxa"/>
            <w:tcBorders>
              <w:top w:val="single" w:sz="12" w:space="0" w:color="FFFFFF"/>
              <w:left w:val="single" w:sz="12" w:space="0" w:color="FFFFFF"/>
              <w:bottom w:val="single" w:sz="12" w:space="0" w:color="FFFFFF"/>
              <w:right w:val="single" w:sz="12" w:space="0" w:color="FFFFFF"/>
            </w:tcBorders>
            <w:tcMar>
              <w:top w:w="15" w:type="dxa"/>
              <w:left w:w="15" w:type="dxa"/>
              <w:right w:w="15" w:type="dxa"/>
            </w:tcMar>
            <w:vAlign w:val="center"/>
          </w:tcPr>
          <w:p w14:paraId="05DC6683" w14:textId="77777777" w:rsidR="008505F4" w:rsidRDefault="008505F4" w:rsidP="00003C98">
            <w:pPr>
              <w:jc w:val="left"/>
              <w:textAlignment w:val="center"/>
              <w:rPr>
                <w:szCs w:val="21"/>
              </w:rPr>
            </w:pPr>
            <w:r>
              <w:rPr>
                <w:kern w:val="0"/>
                <w:szCs w:val="21"/>
              </w:rPr>
              <w:t>6.</w:t>
            </w:r>
            <w:r>
              <w:rPr>
                <w:rFonts w:hint="eastAsia"/>
                <w:kern w:val="0"/>
                <w:szCs w:val="21"/>
              </w:rPr>
              <w:t>0</w:t>
            </w:r>
            <w:r>
              <w:rPr>
                <w:kern w:val="0"/>
                <w:szCs w:val="21"/>
              </w:rPr>
              <w:t>±1.3</w:t>
            </w:r>
          </w:p>
        </w:tc>
        <w:tc>
          <w:tcPr>
            <w:tcW w:w="1882" w:type="dxa"/>
            <w:tcBorders>
              <w:top w:val="single" w:sz="12" w:space="0" w:color="FFFFFF"/>
              <w:left w:val="single" w:sz="12" w:space="0" w:color="FFFFFF"/>
              <w:bottom w:val="single" w:sz="12" w:space="0" w:color="FFFFFF"/>
              <w:right w:val="single" w:sz="12" w:space="0" w:color="FFFFFF"/>
            </w:tcBorders>
            <w:tcMar>
              <w:top w:w="15" w:type="dxa"/>
              <w:left w:w="15" w:type="dxa"/>
              <w:right w:w="15" w:type="dxa"/>
            </w:tcMar>
            <w:vAlign w:val="center"/>
          </w:tcPr>
          <w:p w14:paraId="73555DF8" w14:textId="77777777" w:rsidR="008505F4" w:rsidRDefault="008505F4" w:rsidP="00003C98">
            <w:pPr>
              <w:jc w:val="left"/>
              <w:textAlignment w:val="center"/>
              <w:rPr>
                <w:szCs w:val="21"/>
              </w:rPr>
            </w:pPr>
            <w:r>
              <w:rPr>
                <w:kern w:val="0"/>
                <w:szCs w:val="21"/>
              </w:rPr>
              <w:t>11.9±4.4</w:t>
            </w:r>
          </w:p>
        </w:tc>
      </w:tr>
      <w:tr w:rsidR="008505F4" w14:paraId="7AD99E07" w14:textId="77777777" w:rsidTr="00003C98">
        <w:trPr>
          <w:trHeight w:val="285"/>
        </w:trPr>
        <w:tc>
          <w:tcPr>
            <w:tcW w:w="1080" w:type="dxa"/>
            <w:tcBorders>
              <w:top w:val="single" w:sz="12" w:space="0" w:color="FFFFFF"/>
              <w:left w:val="single" w:sz="12" w:space="0" w:color="FFFFFF"/>
              <w:bottom w:val="single" w:sz="12" w:space="0" w:color="000000"/>
              <w:right w:val="single" w:sz="12" w:space="0" w:color="FFFFFF"/>
            </w:tcBorders>
            <w:tcMar>
              <w:top w:w="15" w:type="dxa"/>
              <w:left w:w="15" w:type="dxa"/>
              <w:right w:w="15" w:type="dxa"/>
            </w:tcMar>
            <w:vAlign w:val="center"/>
          </w:tcPr>
          <w:p w14:paraId="61FDC1A8" w14:textId="77777777" w:rsidR="008505F4" w:rsidRDefault="008505F4" w:rsidP="00003C98">
            <w:pPr>
              <w:jc w:val="left"/>
              <w:textAlignment w:val="center"/>
              <w:rPr>
                <w:kern w:val="0"/>
                <w:szCs w:val="21"/>
              </w:rPr>
            </w:pPr>
            <w:r>
              <w:rPr>
                <w:rFonts w:hint="eastAsia"/>
                <w:kern w:val="0"/>
                <w:szCs w:val="21"/>
              </w:rPr>
              <w:t>P</w:t>
            </w:r>
            <w:r>
              <w:rPr>
                <w:rFonts w:hint="eastAsia"/>
                <w:kern w:val="0"/>
                <w:szCs w:val="21"/>
              </w:rPr>
              <w:t>值</w:t>
            </w:r>
          </w:p>
        </w:tc>
        <w:tc>
          <w:tcPr>
            <w:tcW w:w="1758" w:type="dxa"/>
            <w:tcBorders>
              <w:top w:val="single" w:sz="12" w:space="0" w:color="FFFFFF"/>
              <w:left w:val="single" w:sz="12" w:space="0" w:color="FFFFFF"/>
              <w:bottom w:val="single" w:sz="12" w:space="0" w:color="000000"/>
              <w:right w:val="single" w:sz="12" w:space="0" w:color="FFFFFF"/>
            </w:tcBorders>
            <w:tcMar>
              <w:top w:w="15" w:type="dxa"/>
              <w:left w:w="15" w:type="dxa"/>
              <w:right w:w="15" w:type="dxa"/>
            </w:tcMar>
            <w:vAlign w:val="center"/>
          </w:tcPr>
          <w:p w14:paraId="5EFB2524" w14:textId="77777777" w:rsidR="008505F4" w:rsidRDefault="008505F4" w:rsidP="00003C98">
            <w:pPr>
              <w:jc w:val="left"/>
              <w:textAlignment w:val="center"/>
              <w:rPr>
                <w:kern w:val="0"/>
                <w:szCs w:val="21"/>
              </w:rPr>
            </w:pPr>
            <w:r w:rsidRPr="009D1817">
              <w:rPr>
                <w:kern w:val="0"/>
                <w:szCs w:val="21"/>
              </w:rPr>
              <w:t>P</w:t>
            </w:r>
            <w:r>
              <w:rPr>
                <w:rFonts w:hint="eastAsia"/>
                <w:kern w:val="0"/>
                <w:szCs w:val="21"/>
              </w:rPr>
              <w:t xml:space="preserve"> &gt; </w:t>
            </w:r>
            <w:r w:rsidRPr="009D1817">
              <w:rPr>
                <w:kern w:val="0"/>
                <w:szCs w:val="21"/>
              </w:rPr>
              <w:t>0.05</w:t>
            </w:r>
          </w:p>
        </w:tc>
        <w:tc>
          <w:tcPr>
            <w:tcW w:w="1678" w:type="dxa"/>
            <w:tcBorders>
              <w:top w:val="single" w:sz="12" w:space="0" w:color="FFFFFF"/>
              <w:left w:val="single" w:sz="12" w:space="0" w:color="FFFFFF"/>
              <w:bottom w:val="single" w:sz="12" w:space="0" w:color="000000"/>
              <w:right w:val="single" w:sz="12" w:space="0" w:color="FFFFFF"/>
            </w:tcBorders>
            <w:tcMar>
              <w:top w:w="15" w:type="dxa"/>
              <w:left w:w="15" w:type="dxa"/>
              <w:right w:w="15" w:type="dxa"/>
            </w:tcMar>
            <w:vAlign w:val="center"/>
          </w:tcPr>
          <w:p w14:paraId="63CCD17C" w14:textId="77777777" w:rsidR="008505F4" w:rsidRDefault="008505F4" w:rsidP="00003C98">
            <w:pPr>
              <w:jc w:val="left"/>
              <w:textAlignment w:val="center"/>
              <w:rPr>
                <w:kern w:val="0"/>
                <w:szCs w:val="21"/>
              </w:rPr>
            </w:pPr>
            <w:r w:rsidRPr="009D1817">
              <w:rPr>
                <w:kern w:val="0"/>
                <w:szCs w:val="21"/>
              </w:rPr>
              <w:t>P</w:t>
            </w:r>
            <w:r>
              <w:rPr>
                <w:rFonts w:hint="eastAsia"/>
                <w:kern w:val="0"/>
                <w:szCs w:val="21"/>
              </w:rPr>
              <w:t xml:space="preserve"> </w:t>
            </w:r>
            <w:r w:rsidRPr="009D1817">
              <w:rPr>
                <w:kern w:val="0"/>
                <w:szCs w:val="21"/>
              </w:rPr>
              <w:t>&lt;</w:t>
            </w:r>
            <w:r>
              <w:rPr>
                <w:rFonts w:hint="eastAsia"/>
                <w:kern w:val="0"/>
                <w:szCs w:val="21"/>
              </w:rPr>
              <w:t xml:space="preserve"> </w:t>
            </w:r>
            <w:r w:rsidRPr="009D1817">
              <w:rPr>
                <w:kern w:val="0"/>
                <w:szCs w:val="21"/>
              </w:rPr>
              <w:t>0.05</w:t>
            </w:r>
          </w:p>
        </w:tc>
        <w:tc>
          <w:tcPr>
            <w:tcW w:w="1895" w:type="dxa"/>
            <w:tcBorders>
              <w:top w:val="single" w:sz="12" w:space="0" w:color="FFFFFF"/>
              <w:left w:val="single" w:sz="12" w:space="0" w:color="FFFFFF"/>
              <w:bottom w:val="single" w:sz="12" w:space="0" w:color="000000"/>
              <w:right w:val="single" w:sz="12" w:space="0" w:color="FFFFFF"/>
            </w:tcBorders>
            <w:tcMar>
              <w:top w:w="15" w:type="dxa"/>
              <w:left w:w="15" w:type="dxa"/>
              <w:right w:w="15" w:type="dxa"/>
            </w:tcMar>
            <w:vAlign w:val="center"/>
          </w:tcPr>
          <w:p w14:paraId="438D621B" w14:textId="77777777" w:rsidR="008505F4" w:rsidRDefault="008505F4" w:rsidP="00003C98">
            <w:pPr>
              <w:jc w:val="left"/>
              <w:textAlignment w:val="center"/>
              <w:rPr>
                <w:kern w:val="0"/>
                <w:szCs w:val="21"/>
              </w:rPr>
            </w:pPr>
            <w:r w:rsidRPr="009D1817">
              <w:rPr>
                <w:kern w:val="0"/>
                <w:szCs w:val="21"/>
              </w:rPr>
              <w:t>P</w:t>
            </w:r>
            <w:r>
              <w:rPr>
                <w:rFonts w:hint="eastAsia"/>
                <w:kern w:val="0"/>
                <w:szCs w:val="21"/>
              </w:rPr>
              <w:t xml:space="preserve"> &gt; </w:t>
            </w:r>
            <w:r w:rsidRPr="009D1817">
              <w:rPr>
                <w:kern w:val="0"/>
                <w:szCs w:val="21"/>
              </w:rPr>
              <w:t>0.05</w:t>
            </w:r>
          </w:p>
        </w:tc>
        <w:tc>
          <w:tcPr>
            <w:tcW w:w="1882" w:type="dxa"/>
            <w:tcBorders>
              <w:top w:val="single" w:sz="12" w:space="0" w:color="FFFFFF"/>
              <w:left w:val="single" w:sz="12" w:space="0" w:color="FFFFFF"/>
              <w:bottom w:val="single" w:sz="12" w:space="0" w:color="000000"/>
              <w:right w:val="single" w:sz="12" w:space="0" w:color="FFFFFF"/>
            </w:tcBorders>
            <w:tcMar>
              <w:top w:w="15" w:type="dxa"/>
              <w:left w:w="15" w:type="dxa"/>
              <w:right w:w="15" w:type="dxa"/>
            </w:tcMar>
            <w:vAlign w:val="center"/>
          </w:tcPr>
          <w:p w14:paraId="21F97A68" w14:textId="77777777" w:rsidR="008505F4" w:rsidRDefault="008505F4" w:rsidP="00003C98">
            <w:pPr>
              <w:jc w:val="left"/>
              <w:textAlignment w:val="center"/>
              <w:rPr>
                <w:kern w:val="0"/>
                <w:szCs w:val="21"/>
              </w:rPr>
            </w:pPr>
            <w:r w:rsidRPr="009D1817">
              <w:rPr>
                <w:kern w:val="0"/>
                <w:szCs w:val="21"/>
              </w:rPr>
              <w:t>P</w:t>
            </w:r>
            <w:r>
              <w:rPr>
                <w:rFonts w:hint="eastAsia"/>
                <w:kern w:val="0"/>
                <w:szCs w:val="21"/>
              </w:rPr>
              <w:t xml:space="preserve"> </w:t>
            </w:r>
            <w:r w:rsidRPr="009D1817">
              <w:rPr>
                <w:kern w:val="0"/>
                <w:szCs w:val="21"/>
              </w:rPr>
              <w:t>&lt;</w:t>
            </w:r>
            <w:r>
              <w:rPr>
                <w:rFonts w:hint="eastAsia"/>
                <w:kern w:val="0"/>
                <w:szCs w:val="21"/>
              </w:rPr>
              <w:t xml:space="preserve"> </w:t>
            </w:r>
            <w:r w:rsidRPr="009D1817">
              <w:rPr>
                <w:kern w:val="0"/>
                <w:szCs w:val="21"/>
              </w:rPr>
              <w:t>0.05</w:t>
            </w:r>
          </w:p>
        </w:tc>
      </w:tr>
    </w:tbl>
    <w:p w14:paraId="09905FDE" w14:textId="77777777" w:rsidR="008505F4" w:rsidRDefault="008505F4" w:rsidP="008505F4">
      <w:pPr>
        <w:jc w:val="left"/>
        <w:rPr>
          <w:rFonts w:hint="eastAsia"/>
          <w:vertAlign w:val="subscript"/>
        </w:rPr>
      </w:pPr>
      <w:r w:rsidRPr="00F65303">
        <w:rPr>
          <w:rFonts w:hint="eastAsia"/>
          <w:vertAlign w:val="superscript"/>
        </w:rPr>
        <w:t>*</w:t>
      </w:r>
      <w:r>
        <w:rPr>
          <w:rFonts w:hint="eastAsia"/>
          <w:vertAlign w:val="superscript"/>
        </w:rPr>
        <w:t xml:space="preserve"> </w:t>
      </w:r>
      <w:r>
        <w:rPr>
          <w:rFonts w:hint="eastAsia"/>
          <w:vertAlign w:val="subscript"/>
        </w:rPr>
        <w:t>症状主要包括腹痛、腹胀、腹泻等。</w:t>
      </w:r>
      <w:r>
        <w:rPr>
          <w:rFonts w:hint="eastAsia"/>
          <w:vertAlign w:val="subscript"/>
        </w:rPr>
        <w:t xml:space="preserve"> </w:t>
      </w:r>
      <w:r>
        <w:rPr>
          <w:rFonts w:hint="eastAsia"/>
          <w:vertAlign w:val="superscript"/>
        </w:rPr>
        <w:t xml:space="preserve">** </w:t>
      </w:r>
      <w:r w:rsidRPr="00F67ECD">
        <w:rPr>
          <w:rFonts w:hint="eastAsia"/>
          <w:vertAlign w:val="subscript"/>
        </w:rPr>
        <w:t>体征主要包括腹部压痛、反跳痛等</w:t>
      </w:r>
    </w:p>
    <w:p w14:paraId="02BA7BBA" w14:textId="77777777" w:rsidR="008505F4" w:rsidRPr="00F65303" w:rsidRDefault="008505F4" w:rsidP="008505F4">
      <w:pPr>
        <w:jc w:val="left"/>
        <w:rPr>
          <w:rFonts w:hint="eastAsia"/>
          <w:vertAlign w:val="superscript"/>
        </w:rPr>
      </w:pPr>
    </w:p>
    <w:p w14:paraId="47294B43" w14:textId="77777777" w:rsidR="008505F4" w:rsidRDefault="008505F4" w:rsidP="008505F4">
      <w:pPr>
        <w:rPr>
          <w:rFonts w:hint="eastAsia"/>
          <w:b/>
          <w:bCs/>
        </w:rPr>
      </w:pPr>
      <w:r>
        <w:rPr>
          <w:rFonts w:hint="eastAsia"/>
          <w:b/>
          <w:bCs/>
        </w:rPr>
        <w:t xml:space="preserve">2.3 </w:t>
      </w:r>
      <w:r w:rsidRPr="00232F30">
        <w:rPr>
          <w:rFonts w:hint="eastAsia"/>
          <w:b/>
          <w:bCs/>
          <w:szCs w:val="21"/>
        </w:rPr>
        <w:t>两组患者血</w:t>
      </w:r>
      <w:r>
        <w:rPr>
          <w:rFonts w:hint="eastAsia"/>
          <w:b/>
          <w:bCs/>
          <w:szCs w:val="21"/>
        </w:rPr>
        <w:t>清</w:t>
      </w:r>
      <w:r w:rsidRPr="00232F30">
        <w:rPr>
          <w:rFonts w:hint="eastAsia"/>
          <w:b/>
          <w:bCs/>
          <w:szCs w:val="21"/>
        </w:rPr>
        <w:t>淀粉酶</w:t>
      </w:r>
      <w:r>
        <w:rPr>
          <w:rFonts w:hint="eastAsia"/>
          <w:b/>
          <w:bCs/>
          <w:szCs w:val="21"/>
        </w:rPr>
        <w:t>变化情况</w:t>
      </w:r>
      <w:r w:rsidRPr="00232F30">
        <w:rPr>
          <w:rFonts w:hint="eastAsia"/>
          <w:b/>
          <w:bCs/>
          <w:szCs w:val="21"/>
        </w:rPr>
        <w:t>比较</w:t>
      </w:r>
    </w:p>
    <w:p w14:paraId="16392821" w14:textId="77777777" w:rsidR="008505F4" w:rsidRPr="00232F30" w:rsidRDefault="008505F4" w:rsidP="008505F4">
      <w:pPr>
        <w:jc w:val="left"/>
        <w:rPr>
          <w:rFonts w:hint="eastAsia"/>
        </w:rPr>
      </w:pPr>
      <w:r>
        <w:rPr>
          <w:rFonts w:hint="eastAsia"/>
        </w:rPr>
        <w:t xml:space="preserve">    </w:t>
      </w:r>
      <w:r>
        <w:rPr>
          <w:rFonts w:hint="eastAsia"/>
        </w:rPr>
        <w:t>如表</w:t>
      </w:r>
      <w:r>
        <w:rPr>
          <w:rFonts w:hint="eastAsia"/>
        </w:rPr>
        <w:t>3</w:t>
      </w:r>
      <w:r>
        <w:rPr>
          <w:rFonts w:hint="eastAsia"/>
        </w:rPr>
        <w:t>所示，联合组与对照组比较，在治疗开始时以及治疗第</w:t>
      </w:r>
      <w:r>
        <w:rPr>
          <w:rFonts w:hint="eastAsia"/>
        </w:rPr>
        <w:t>2</w:t>
      </w:r>
      <w:r>
        <w:rPr>
          <w:rFonts w:hint="eastAsia"/>
        </w:rPr>
        <w:t>天，两组血清淀粉酶水平并无统计学差异（</w:t>
      </w:r>
      <w:r>
        <w:rPr>
          <w:rFonts w:hint="eastAsia"/>
        </w:rPr>
        <w:t>P&gt;0.05</w:t>
      </w:r>
      <w:r>
        <w:rPr>
          <w:rFonts w:hint="eastAsia"/>
        </w:rPr>
        <w:t>）。从治疗开始第</w:t>
      </w:r>
      <w:r>
        <w:rPr>
          <w:rFonts w:hint="eastAsia"/>
        </w:rPr>
        <w:t>3</w:t>
      </w:r>
      <w:r>
        <w:rPr>
          <w:rFonts w:hint="eastAsia"/>
        </w:rPr>
        <w:t>天起，联合组血清淀粉酶明显低于对照组（</w:t>
      </w:r>
      <w:r>
        <w:rPr>
          <w:rFonts w:hint="eastAsia"/>
        </w:rPr>
        <w:t>P&lt;0.05</w:t>
      </w:r>
      <w:r>
        <w:rPr>
          <w:rFonts w:hint="eastAsia"/>
        </w:rPr>
        <w:t>）。</w:t>
      </w:r>
    </w:p>
    <w:p w14:paraId="29C53BDA" w14:textId="77777777" w:rsidR="008505F4" w:rsidRDefault="008505F4" w:rsidP="008505F4">
      <w:pPr>
        <w:jc w:val="left"/>
        <w:rPr>
          <w:rFonts w:ascii="宋体" w:hAnsi="宋体" w:cs="宋体" w:hint="eastAsia"/>
          <w:kern w:val="0"/>
        </w:rPr>
      </w:pPr>
    </w:p>
    <w:p w14:paraId="0E95E713" w14:textId="77777777" w:rsidR="008505F4" w:rsidRPr="00232F30" w:rsidRDefault="008505F4" w:rsidP="008505F4">
      <w:pPr>
        <w:jc w:val="center"/>
        <w:rPr>
          <w:rFonts w:ascii="宋体" w:hAnsi="宋体" w:cs="宋体" w:hint="eastAsia"/>
          <w:kern w:val="0"/>
          <w:szCs w:val="21"/>
        </w:rPr>
      </w:pPr>
      <w:r w:rsidRPr="00232F30">
        <w:rPr>
          <w:rFonts w:ascii="宋体" w:hAnsi="宋体" w:cs="宋体" w:hint="eastAsia"/>
          <w:kern w:val="0"/>
          <w:szCs w:val="21"/>
        </w:rPr>
        <w:t>表3 两组患者治疗前后血淀粉酶变化情况比较</w:t>
      </w:r>
    </w:p>
    <w:tbl>
      <w:tblPr>
        <w:tblW w:w="8297" w:type="dxa"/>
        <w:tblInd w:w="-30" w:type="dxa"/>
        <w:tblLayout w:type="fixed"/>
        <w:tblCellMar>
          <w:left w:w="0" w:type="dxa"/>
          <w:right w:w="0" w:type="dxa"/>
        </w:tblCellMar>
        <w:tblLook w:val="0000" w:firstRow="0" w:lastRow="0" w:firstColumn="0" w:lastColumn="0" w:noHBand="0" w:noVBand="0"/>
      </w:tblPr>
      <w:tblGrid>
        <w:gridCol w:w="935"/>
        <w:gridCol w:w="1478"/>
        <w:gridCol w:w="1304"/>
        <w:gridCol w:w="1479"/>
        <w:gridCol w:w="1522"/>
        <w:gridCol w:w="1579"/>
      </w:tblGrid>
      <w:tr w:rsidR="008505F4" w14:paraId="0E741D73" w14:textId="77777777" w:rsidTr="00003C98">
        <w:trPr>
          <w:trHeight w:val="624"/>
        </w:trPr>
        <w:tc>
          <w:tcPr>
            <w:tcW w:w="935" w:type="dxa"/>
            <w:tcBorders>
              <w:top w:val="single" w:sz="12" w:space="0" w:color="000000"/>
              <w:left w:val="single" w:sz="12" w:space="0" w:color="FFFFFF"/>
              <w:bottom w:val="single" w:sz="12" w:space="0" w:color="000000"/>
              <w:right w:val="single" w:sz="12" w:space="0" w:color="FFFFFF"/>
            </w:tcBorders>
            <w:tcMar>
              <w:top w:w="15" w:type="dxa"/>
              <w:left w:w="15" w:type="dxa"/>
              <w:right w:w="15" w:type="dxa"/>
            </w:tcMar>
            <w:vAlign w:val="center"/>
          </w:tcPr>
          <w:p w14:paraId="27CE8551" w14:textId="77777777" w:rsidR="008505F4" w:rsidRDefault="008505F4" w:rsidP="00003C98">
            <w:pPr>
              <w:jc w:val="center"/>
              <w:textAlignment w:val="center"/>
              <w:rPr>
                <w:szCs w:val="21"/>
              </w:rPr>
            </w:pPr>
            <w:r>
              <w:rPr>
                <w:kern w:val="0"/>
                <w:szCs w:val="21"/>
              </w:rPr>
              <w:t>组别</w:t>
            </w:r>
            <w:r>
              <w:rPr>
                <w:rFonts w:hint="eastAsia"/>
                <w:kern w:val="0"/>
                <w:szCs w:val="21"/>
              </w:rPr>
              <w:t xml:space="preserve"> (n)</w:t>
            </w:r>
          </w:p>
        </w:tc>
        <w:tc>
          <w:tcPr>
            <w:tcW w:w="1478" w:type="dxa"/>
            <w:tcBorders>
              <w:top w:val="single" w:sz="12" w:space="0" w:color="000000"/>
              <w:left w:val="single" w:sz="12" w:space="0" w:color="FFFFFF"/>
              <w:bottom w:val="single" w:sz="12" w:space="0" w:color="000000"/>
              <w:right w:val="single" w:sz="12" w:space="0" w:color="FFFFFF"/>
            </w:tcBorders>
            <w:tcMar>
              <w:top w:w="15" w:type="dxa"/>
              <w:left w:w="15" w:type="dxa"/>
              <w:right w:w="15" w:type="dxa"/>
            </w:tcMar>
            <w:vAlign w:val="center"/>
          </w:tcPr>
          <w:p w14:paraId="38DD3DDB" w14:textId="77777777" w:rsidR="008505F4" w:rsidRDefault="008505F4" w:rsidP="00003C98">
            <w:pPr>
              <w:jc w:val="center"/>
              <w:textAlignment w:val="center"/>
              <w:rPr>
                <w:szCs w:val="21"/>
              </w:rPr>
            </w:pPr>
            <w:r>
              <w:rPr>
                <w:rFonts w:hint="eastAsia"/>
                <w:kern w:val="0"/>
                <w:szCs w:val="21"/>
              </w:rPr>
              <w:t>治疗当天</w:t>
            </w:r>
          </w:p>
        </w:tc>
        <w:tc>
          <w:tcPr>
            <w:tcW w:w="1304" w:type="dxa"/>
            <w:tcBorders>
              <w:top w:val="single" w:sz="12" w:space="0" w:color="000000"/>
              <w:left w:val="single" w:sz="12" w:space="0" w:color="FFFFFF"/>
              <w:bottom w:val="single" w:sz="12" w:space="0" w:color="000000"/>
              <w:right w:val="single" w:sz="12" w:space="0" w:color="FFFFFF"/>
            </w:tcBorders>
            <w:tcMar>
              <w:top w:w="15" w:type="dxa"/>
              <w:left w:w="15" w:type="dxa"/>
              <w:right w:w="15" w:type="dxa"/>
            </w:tcMar>
            <w:vAlign w:val="center"/>
          </w:tcPr>
          <w:p w14:paraId="1A9AD4B3" w14:textId="77777777" w:rsidR="008505F4" w:rsidRDefault="008505F4" w:rsidP="00003C98">
            <w:pPr>
              <w:jc w:val="center"/>
              <w:textAlignment w:val="center"/>
              <w:rPr>
                <w:szCs w:val="21"/>
              </w:rPr>
            </w:pPr>
            <w:r>
              <w:rPr>
                <w:rFonts w:hint="eastAsia"/>
                <w:kern w:val="0"/>
                <w:szCs w:val="21"/>
              </w:rPr>
              <w:t>治疗第</w:t>
            </w:r>
            <w:r>
              <w:rPr>
                <w:rFonts w:hint="eastAsia"/>
                <w:kern w:val="0"/>
                <w:szCs w:val="21"/>
              </w:rPr>
              <w:t>2</w:t>
            </w:r>
            <w:r>
              <w:rPr>
                <w:rFonts w:hint="eastAsia"/>
                <w:kern w:val="0"/>
                <w:szCs w:val="21"/>
              </w:rPr>
              <w:t>天</w:t>
            </w:r>
          </w:p>
        </w:tc>
        <w:tc>
          <w:tcPr>
            <w:tcW w:w="1479" w:type="dxa"/>
            <w:tcBorders>
              <w:top w:val="single" w:sz="12" w:space="0" w:color="000000"/>
              <w:left w:val="single" w:sz="12" w:space="0" w:color="FFFFFF"/>
              <w:bottom w:val="single" w:sz="12" w:space="0" w:color="000000"/>
              <w:right w:val="single" w:sz="12" w:space="0" w:color="FFFFFF"/>
            </w:tcBorders>
            <w:tcMar>
              <w:top w:w="15" w:type="dxa"/>
              <w:left w:w="15" w:type="dxa"/>
              <w:right w:w="15" w:type="dxa"/>
            </w:tcMar>
            <w:vAlign w:val="center"/>
          </w:tcPr>
          <w:p w14:paraId="40DE9E36" w14:textId="77777777" w:rsidR="008505F4" w:rsidRDefault="008505F4" w:rsidP="00003C98">
            <w:pPr>
              <w:jc w:val="center"/>
              <w:textAlignment w:val="center"/>
              <w:rPr>
                <w:szCs w:val="21"/>
              </w:rPr>
            </w:pPr>
            <w:r>
              <w:rPr>
                <w:rFonts w:hint="eastAsia"/>
                <w:kern w:val="0"/>
                <w:szCs w:val="21"/>
              </w:rPr>
              <w:t>治疗第</w:t>
            </w:r>
            <w:r>
              <w:rPr>
                <w:rFonts w:hint="eastAsia"/>
                <w:kern w:val="0"/>
                <w:szCs w:val="21"/>
              </w:rPr>
              <w:t>3</w:t>
            </w:r>
            <w:r>
              <w:rPr>
                <w:rFonts w:hint="eastAsia"/>
                <w:kern w:val="0"/>
                <w:szCs w:val="21"/>
              </w:rPr>
              <w:t>天</w:t>
            </w:r>
          </w:p>
        </w:tc>
        <w:tc>
          <w:tcPr>
            <w:tcW w:w="1522" w:type="dxa"/>
            <w:tcBorders>
              <w:top w:val="single" w:sz="12" w:space="0" w:color="000000"/>
              <w:left w:val="single" w:sz="12" w:space="0" w:color="FFFFFF"/>
              <w:bottom w:val="single" w:sz="12" w:space="0" w:color="000000"/>
              <w:right w:val="single" w:sz="12" w:space="0" w:color="FFFFFF"/>
            </w:tcBorders>
            <w:tcMar>
              <w:top w:w="15" w:type="dxa"/>
              <w:left w:w="15" w:type="dxa"/>
              <w:right w:w="15" w:type="dxa"/>
            </w:tcMar>
            <w:vAlign w:val="center"/>
          </w:tcPr>
          <w:p w14:paraId="37684686" w14:textId="77777777" w:rsidR="008505F4" w:rsidRDefault="008505F4" w:rsidP="00003C98">
            <w:pPr>
              <w:jc w:val="center"/>
              <w:textAlignment w:val="center"/>
              <w:rPr>
                <w:szCs w:val="21"/>
              </w:rPr>
            </w:pPr>
            <w:r>
              <w:rPr>
                <w:rFonts w:hint="eastAsia"/>
                <w:kern w:val="0"/>
                <w:szCs w:val="21"/>
              </w:rPr>
              <w:t>治疗第</w:t>
            </w:r>
            <w:r>
              <w:rPr>
                <w:rFonts w:hint="eastAsia"/>
                <w:kern w:val="0"/>
                <w:szCs w:val="21"/>
              </w:rPr>
              <w:t>5</w:t>
            </w:r>
            <w:r>
              <w:rPr>
                <w:rFonts w:hint="eastAsia"/>
                <w:kern w:val="0"/>
                <w:szCs w:val="21"/>
              </w:rPr>
              <w:t>天</w:t>
            </w:r>
          </w:p>
        </w:tc>
        <w:tc>
          <w:tcPr>
            <w:tcW w:w="1579" w:type="dxa"/>
            <w:tcBorders>
              <w:top w:val="single" w:sz="12" w:space="0" w:color="000000"/>
              <w:left w:val="single" w:sz="12" w:space="0" w:color="FFFFFF"/>
              <w:bottom w:val="single" w:sz="12" w:space="0" w:color="000000"/>
              <w:right w:val="single" w:sz="12" w:space="0" w:color="FFFFFF"/>
            </w:tcBorders>
            <w:tcMar>
              <w:top w:w="15" w:type="dxa"/>
              <w:left w:w="15" w:type="dxa"/>
              <w:right w:w="15" w:type="dxa"/>
            </w:tcMar>
            <w:vAlign w:val="center"/>
          </w:tcPr>
          <w:p w14:paraId="36665268" w14:textId="77777777" w:rsidR="008505F4" w:rsidRDefault="008505F4" w:rsidP="00003C98">
            <w:pPr>
              <w:jc w:val="center"/>
              <w:textAlignment w:val="center"/>
              <w:rPr>
                <w:szCs w:val="21"/>
              </w:rPr>
            </w:pPr>
            <w:r>
              <w:rPr>
                <w:rFonts w:hint="eastAsia"/>
                <w:kern w:val="0"/>
                <w:szCs w:val="21"/>
              </w:rPr>
              <w:t>治疗第</w:t>
            </w:r>
            <w:r>
              <w:rPr>
                <w:rFonts w:hint="eastAsia"/>
                <w:kern w:val="0"/>
                <w:szCs w:val="21"/>
              </w:rPr>
              <w:t>7</w:t>
            </w:r>
            <w:r>
              <w:rPr>
                <w:rFonts w:hint="eastAsia"/>
                <w:kern w:val="0"/>
                <w:szCs w:val="21"/>
              </w:rPr>
              <w:t>天</w:t>
            </w:r>
          </w:p>
        </w:tc>
      </w:tr>
      <w:tr w:rsidR="008505F4" w14:paraId="6EBAFD5C" w14:textId="77777777" w:rsidTr="00003C98">
        <w:trPr>
          <w:trHeight w:val="293"/>
        </w:trPr>
        <w:tc>
          <w:tcPr>
            <w:tcW w:w="935" w:type="dxa"/>
            <w:tcBorders>
              <w:top w:val="single" w:sz="12" w:space="0" w:color="000000"/>
              <w:left w:val="single" w:sz="12" w:space="0" w:color="FFFFFF"/>
              <w:bottom w:val="single" w:sz="12" w:space="0" w:color="FFFFFF"/>
              <w:right w:val="single" w:sz="12" w:space="0" w:color="FFFFFF"/>
            </w:tcBorders>
            <w:tcMar>
              <w:top w:w="15" w:type="dxa"/>
              <w:left w:w="15" w:type="dxa"/>
              <w:right w:w="15" w:type="dxa"/>
            </w:tcMar>
            <w:vAlign w:val="center"/>
          </w:tcPr>
          <w:p w14:paraId="179A8B10" w14:textId="77777777" w:rsidR="008505F4" w:rsidRDefault="008505F4" w:rsidP="00003C98">
            <w:pPr>
              <w:jc w:val="center"/>
              <w:textAlignment w:val="center"/>
              <w:rPr>
                <w:szCs w:val="21"/>
              </w:rPr>
            </w:pPr>
            <w:r>
              <w:rPr>
                <w:kern w:val="0"/>
                <w:szCs w:val="21"/>
              </w:rPr>
              <w:t>对照组</w:t>
            </w:r>
            <w:r>
              <w:rPr>
                <w:rFonts w:hint="eastAsia"/>
                <w:kern w:val="0"/>
                <w:szCs w:val="21"/>
              </w:rPr>
              <w:t>(32)</w:t>
            </w:r>
          </w:p>
        </w:tc>
        <w:tc>
          <w:tcPr>
            <w:tcW w:w="1478" w:type="dxa"/>
            <w:tcBorders>
              <w:top w:val="single" w:sz="12" w:space="0" w:color="000000"/>
              <w:left w:val="single" w:sz="12" w:space="0" w:color="FFFFFF"/>
              <w:bottom w:val="single" w:sz="12" w:space="0" w:color="FFFFFF"/>
              <w:right w:val="single" w:sz="12" w:space="0" w:color="FFFFFF"/>
            </w:tcBorders>
            <w:tcMar>
              <w:top w:w="15" w:type="dxa"/>
              <w:left w:w="15" w:type="dxa"/>
              <w:right w:w="15" w:type="dxa"/>
            </w:tcMar>
            <w:vAlign w:val="center"/>
          </w:tcPr>
          <w:p w14:paraId="1ED5A6D4" w14:textId="77777777" w:rsidR="008505F4" w:rsidRDefault="008505F4" w:rsidP="00003C98">
            <w:pPr>
              <w:jc w:val="center"/>
              <w:textAlignment w:val="center"/>
              <w:rPr>
                <w:szCs w:val="21"/>
              </w:rPr>
            </w:pPr>
            <w:r w:rsidRPr="009D1817">
              <w:rPr>
                <w:kern w:val="0"/>
                <w:szCs w:val="21"/>
              </w:rPr>
              <w:t>842.9±54.7</w:t>
            </w:r>
          </w:p>
        </w:tc>
        <w:tc>
          <w:tcPr>
            <w:tcW w:w="1304" w:type="dxa"/>
            <w:tcBorders>
              <w:top w:val="single" w:sz="12" w:space="0" w:color="000000"/>
              <w:left w:val="single" w:sz="12" w:space="0" w:color="FFFFFF"/>
              <w:bottom w:val="single" w:sz="12" w:space="0" w:color="FFFFFF"/>
              <w:right w:val="single" w:sz="12" w:space="0" w:color="FFFFFF"/>
            </w:tcBorders>
            <w:tcMar>
              <w:top w:w="15" w:type="dxa"/>
              <w:left w:w="15" w:type="dxa"/>
              <w:right w:w="15" w:type="dxa"/>
            </w:tcMar>
            <w:vAlign w:val="center"/>
          </w:tcPr>
          <w:p w14:paraId="056DC778" w14:textId="77777777" w:rsidR="008505F4" w:rsidRDefault="008505F4" w:rsidP="00003C98">
            <w:pPr>
              <w:jc w:val="center"/>
              <w:textAlignment w:val="center"/>
              <w:rPr>
                <w:szCs w:val="21"/>
              </w:rPr>
            </w:pPr>
            <w:r>
              <w:rPr>
                <w:rFonts w:hint="eastAsia"/>
                <w:kern w:val="0"/>
                <w:szCs w:val="21"/>
              </w:rPr>
              <w:t>710</w:t>
            </w:r>
            <w:r>
              <w:rPr>
                <w:kern w:val="0"/>
                <w:szCs w:val="21"/>
              </w:rPr>
              <w:t>±</w:t>
            </w:r>
            <w:r>
              <w:rPr>
                <w:rFonts w:hint="eastAsia"/>
                <w:kern w:val="0"/>
                <w:szCs w:val="21"/>
              </w:rPr>
              <w:t>44</w:t>
            </w:r>
            <w:r>
              <w:rPr>
                <w:kern w:val="0"/>
                <w:szCs w:val="21"/>
              </w:rPr>
              <w:t>.</w:t>
            </w:r>
            <w:r>
              <w:rPr>
                <w:rFonts w:hint="eastAsia"/>
                <w:kern w:val="0"/>
                <w:szCs w:val="21"/>
              </w:rPr>
              <w:t>3</w:t>
            </w:r>
          </w:p>
        </w:tc>
        <w:tc>
          <w:tcPr>
            <w:tcW w:w="1479" w:type="dxa"/>
            <w:tcBorders>
              <w:top w:val="single" w:sz="12" w:space="0" w:color="000000"/>
              <w:left w:val="single" w:sz="12" w:space="0" w:color="FFFFFF"/>
              <w:bottom w:val="single" w:sz="12" w:space="0" w:color="FFFFFF"/>
              <w:right w:val="single" w:sz="12" w:space="0" w:color="FFFFFF"/>
            </w:tcBorders>
            <w:tcMar>
              <w:top w:w="15" w:type="dxa"/>
              <w:left w:w="15" w:type="dxa"/>
              <w:right w:w="15" w:type="dxa"/>
            </w:tcMar>
            <w:vAlign w:val="center"/>
          </w:tcPr>
          <w:p w14:paraId="5F89FFC3" w14:textId="77777777" w:rsidR="008505F4" w:rsidRDefault="008505F4" w:rsidP="00003C98">
            <w:pPr>
              <w:jc w:val="center"/>
              <w:textAlignment w:val="center"/>
              <w:rPr>
                <w:szCs w:val="21"/>
              </w:rPr>
            </w:pPr>
            <w:r>
              <w:rPr>
                <w:rFonts w:hint="eastAsia"/>
                <w:kern w:val="0"/>
                <w:szCs w:val="21"/>
              </w:rPr>
              <w:t>54</w:t>
            </w:r>
            <w:r>
              <w:rPr>
                <w:kern w:val="0"/>
                <w:szCs w:val="21"/>
              </w:rPr>
              <w:t>2.9±</w:t>
            </w:r>
            <w:r>
              <w:rPr>
                <w:rFonts w:hint="eastAsia"/>
                <w:kern w:val="0"/>
                <w:szCs w:val="21"/>
              </w:rPr>
              <w:t>46</w:t>
            </w:r>
            <w:r w:rsidRPr="00285E21">
              <w:rPr>
                <w:kern w:val="0"/>
                <w:szCs w:val="21"/>
              </w:rPr>
              <w:t>.</w:t>
            </w:r>
            <w:r>
              <w:rPr>
                <w:rFonts w:hint="eastAsia"/>
                <w:kern w:val="0"/>
                <w:szCs w:val="21"/>
              </w:rPr>
              <w:t>8</w:t>
            </w:r>
          </w:p>
        </w:tc>
        <w:tc>
          <w:tcPr>
            <w:tcW w:w="1522" w:type="dxa"/>
            <w:tcBorders>
              <w:top w:val="single" w:sz="12" w:space="0" w:color="000000"/>
              <w:left w:val="single" w:sz="12" w:space="0" w:color="FFFFFF"/>
              <w:bottom w:val="single" w:sz="12" w:space="0" w:color="FFFFFF"/>
              <w:right w:val="single" w:sz="12" w:space="0" w:color="FFFFFF"/>
            </w:tcBorders>
            <w:tcMar>
              <w:top w:w="15" w:type="dxa"/>
              <w:left w:w="15" w:type="dxa"/>
              <w:right w:w="15" w:type="dxa"/>
            </w:tcMar>
            <w:vAlign w:val="center"/>
          </w:tcPr>
          <w:p w14:paraId="4C25CC62" w14:textId="77777777" w:rsidR="008505F4" w:rsidRDefault="008505F4" w:rsidP="00003C98">
            <w:pPr>
              <w:jc w:val="center"/>
              <w:textAlignment w:val="center"/>
              <w:rPr>
                <w:szCs w:val="21"/>
              </w:rPr>
            </w:pPr>
            <w:r>
              <w:rPr>
                <w:rFonts w:hint="eastAsia"/>
                <w:kern w:val="0"/>
                <w:szCs w:val="21"/>
              </w:rPr>
              <w:t>321</w:t>
            </w:r>
            <w:r>
              <w:rPr>
                <w:kern w:val="0"/>
                <w:szCs w:val="21"/>
              </w:rPr>
              <w:t>.</w:t>
            </w:r>
            <w:r>
              <w:rPr>
                <w:rFonts w:hint="eastAsia"/>
                <w:kern w:val="0"/>
                <w:szCs w:val="21"/>
              </w:rPr>
              <w:t>6</w:t>
            </w:r>
            <w:r>
              <w:rPr>
                <w:kern w:val="0"/>
                <w:szCs w:val="21"/>
              </w:rPr>
              <w:t>±</w:t>
            </w:r>
            <w:r>
              <w:rPr>
                <w:rFonts w:hint="eastAsia"/>
                <w:kern w:val="0"/>
                <w:szCs w:val="21"/>
              </w:rPr>
              <w:t>38</w:t>
            </w:r>
            <w:r w:rsidRPr="00285E21">
              <w:rPr>
                <w:kern w:val="0"/>
                <w:szCs w:val="21"/>
              </w:rPr>
              <w:t>.7</w:t>
            </w:r>
          </w:p>
        </w:tc>
        <w:tc>
          <w:tcPr>
            <w:tcW w:w="1579" w:type="dxa"/>
            <w:tcBorders>
              <w:top w:val="single" w:sz="12" w:space="0" w:color="000000"/>
              <w:left w:val="single" w:sz="12" w:space="0" w:color="FFFFFF"/>
              <w:bottom w:val="single" w:sz="12" w:space="0" w:color="FFFFFF"/>
              <w:right w:val="single" w:sz="12" w:space="0" w:color="FFFFFF"/>
            </w:tcBorders>
            <w:tcMar>
              <w:top w:w="15" w:type="dxa"/>
              <w:left w:w="15" w:type="dxa"/>
              <w:right w:w="15" w:type="dxa"/>
            </w:tcMar>
            <w:vAlign w:val="center"/>
          </w:tcPr>
          <w:p w14:paraId="611E9EB2" w14:textId="77777777" w:rsidR="008505F4" w:rsidRDefault="008505F4" w:rsidP="00003C98">
            <w:pPr>
              <w:jc w:val="center"/>
              <w:rPr>
                <w:szCs w:val="21"/>
              </w:rPr>
            </w:pPr>
            <w:r>
              <w:rPr>
                <w:rFonts w:hint="eastAsia"/>
                <w:kern w:val="0"/>
                <w:szCs w:val="21"/>
              </w:rPr>
              <w:t>178</w:t>
            </w:r>
            <w:r>
              <w:rPr>
                <w:kern w:val="0"/>
                <w:szCs w:val="21"/>
              </w:rPr>
              <w:t>.</w:t>
            </w:r>
            <w:r>
              <w:rPr>
                <w:rFonts w:hint="eastAsia"/>
                <w:kern w:val="0"/>
                <w:szCs w:val="21"/>
              </w:rPr>
              <w:t>6</w:t>
            </w:r>
            <w:r>
              <w:rPr>
                <w:kern w:val="0"/>
                <w:szCs w:val="21"/>
              </w:rPr>
              <w:t>±</w:t>
            </w:r>
            <w:r>
              <w:rPr>
                <w:rFonts w:hint="eastAsia"/>
                <w:kern w:val="0"/>
                <w:szCs w:val="21"/>
              </w:rPr>
              <w:t>28</w:t>
            </w:r>
            <w:r w:rsidRPr="00285E21">
              <w:rPr>
                <w:kern w:val="0"/>
                <w:szCs w:val="21"/>
              </w:rPr>
              <w:t>.7</w:t>
            </w:r>
          </w:p>
        </w:tc>
      </w:tr>
      <w:tr w:rsidR="008505F4" w14:paraId="48EEA198" w14:textId="77777777" w:rsidTr="00003C98">
        <w:trPr>
          <w:trHeight w:val="293"/>
        </w:trPr>
        <w:tc>
          <w:tcPr>
            <w:tcW w:w="935" w:type="dxa"/>
            <w:tcBorders>
              <w:top w:val="single" w:sz="12" w:space="0" w:color="FFFFFF"/>
              <w:left w:val="single" w:sz="12" w:space="0" w:color="FFFFFF"/>
              <w:bottom w:val="single" w:sz="12" w:space="0" w:color="FFFFFF"/>
              <w:right w:val="single" w:sz="12" w:space="0" w:color="FFFFFF"/>
            </w:tcBorders>
            <w:tcMar>
              <w:top w:w="15" w:type="dxa"/>
              <w:left w:w="15" w:type="dxa"/>
              <w:right w:w="15" w:type="dxa"/>
            </w:tcMar>
            <w:vAlign w:val="center"/>
          </w:tcPr>
          <w:p w14:paraId="1696A571" w14:textId="77777777" w:rsidR="008505F4" w:rsidRDefault="008505F4" w:rsidP="00003C98">
            <w:pPr>
              <w:jc w:val="center"/>
              <w:textAlignment w:val="center"/>
              <w:rPr>
                <w:szCs w:val="21"/>
              </w:rPr>
            </w:pPr>
            <w:r>
              <w:rPr>
                <w:kern w:val="0"/>
                <w:szCs w:val="21"/>
              </w:rPr>
              <w:t>联合组</w:t>
            </w:r>
            <w:r>
              <w:rPr>
                <w:rFonts w:hint="eastAsia"/>
                <w:kern w:val="0"/>
                <w:szCs w:val="21"/>
              </w:rPr>
              <w:t>(32)</w:t>
            </w:r>
          </w:p>
        </w:tc>
        <w:tc>
          <w:tcPr>
            <w:tcW w:w="1478" w:type="dxa"/>
            <w:tcBorders>
              <w:top w:val="single" w:sz="12" w:space="0" w:color="FFFFFF"/>
              <w:left w:val="single" w:sz="12" w:space="0" w:color="FFFFFF"/>
              <w:bottom w:val="single" w:sz="12" w:space="0" w:color="FFFFFF"/>
              <w:right w:val="single" w:sz="12" w:space="0" w:color="FFFFFF"/>
            </w:tcBorders>
            <w:tcMar>
              <w:top w:w="15" w:type="dxa"/>
              <w:left w:w="15" w:type="dxa"/>
              <w:right w:w="15" w:type="dxa"/>
            </w:tcMar>
            <w:vAlign w:val="center"/>
          </w:tcPr>
          <w:p w14:paraId="2C558CA2" w14:textId="77777777" w:rsidR="008505F4" w:rsidRDefault="008505F4" w:rsidP="00003C98">
            <w:pPr>
              <w:jc w:val="center"/>
              <w:textAlignment w:val="center"/>
              <w:rPr>
                <w:szCs w:val="21"/>
              </w:rPr>
            </w:pPr>
            <w:r w:rsidRPr="009D1817">
              <w:rPr>
                <w:kern w:val="0"/>
                <w:szCs w:val="21"/>
              </w:rPr>
              <w:t>888.5±61.6</w:t>
            </w:r>
          </w:p>
        </w:tc>
        <w:tc>
          <w:tcPr>
            <w:tcW w:w="1304" w:type="dxa"/>
            <w:tcBorders>
              <w:top w:val="single" w:sz="12" w:space="0" w:color="FFFFFF"/>
              <w:left w:val="single" w:sz="12" w:space="0" w:color="FFFFFF"/>
              <w:bottom w:val="single" w:sz="12" w:space="0" w:color="FFFFFF"/>
              <w:right w:val="single" w:sz="12" w:space="0" w:color="FFFFFF"/>
            </w:tcBorders>
            <w:tcMar>
              <w:top w:w="15" w:type="dxa"/>
              <w:left w:w="15" w:type="dxa"/>
              <w:right w:w="15" w:type="dxa"/>
            </w:tcMar>
            <w:vAlign w:val="center"/>
          </w:tcPr>
          <w:p w14:paraId="6900FF9C" w14:textId="77777777" w:rsidR="008505F4" w:rsidRDefault="008505F4" w:rsidP="00003C98">
            <w:pPr>
              <w:jc w:val="center"/>
              <w:textAlignment w:val="center"/>
              <w:rPr>
                <w:szCs w:val="21"/>
              </w:rPr>
            </w:pPr>
            <w:r>
              <w:rPr>
                <w:rFonts w:hint="eastAsia"/>
                <w:kern w:val="0"/>
                <w:szCs w:val="21"/>
              </w:rPr>
              <w:t>70</w:t>
            </w:r>
            <w:r>
              <w:rPr>
                <w:kern w:val="0"/>
                <w:szCs w:val="21"/>
              </w:rPr>
              <w:t>2.9±5</w:t>
            </w:r>
            <w:r>
              <w:rPr>
                <w:rFonts w:hint="eastAsia"/>
                <w:kern w:val="0"/>
                <w:szCs w:val="21"/>
              </w:rPr>
              <w:t>0</w:t>
            </w:r>
            <w:r w:rsidRPr="00285E21">
              <w:rPr>
                <w:kern w:val="0"/>
                <w:szCs w:val="21"/>
              </w:rPr>
              <w:t>.7</w:t>
            </w:r>
          </w:p>
        </w:tc>
        <w:tc>
          <w:tcPr>
            <w:tcW w:w="1479" w:type="dxa"/>
            <w:tcBorders>
              <w:top w:val="single" w:sz="12" w:space="0" w:color="FFFFFF"/>
              <w:left w:val="single" w:sz="12" w:space="0" w:color="FFFFFF"/>
              <w:bottom w:val="single" w:sz="12" w:space="0" w:color="FFFFFF"/>
              <w:right w:val="single" w:sz="12" w:space="0" w:color="FFFFFF"/>
            </w:tcBorders>
            <w:tcMar>
              <w:top w:w="15" w:type="dxa"/>
              <w:left w:w="15" w:type="dxa"/>
              <w:right w:w="15" w:type="dxa"/>
            </w:tcMar>
            <w:vAlign w:val="center"/>
          </w:tcPr>
          <w:p w14:paraId="665AFEED" w14:textId="77777777" w:rsidR="008505F4" w:rsidRDefault="008505F4" w:rsidP="00003C98">
            <w:pPr>
              <w:jc w:val="center"/>
              <w:textAlignment w:val="center"/>
              <w:rPr>
                <w:szCs w:val="21"/>
              </w:rPr>
            </w:pPr>
            <w:r>
              <w:rPr>
                <w:rFonts w:hint="eastAsia"/>
                <w:kern w:val="0"/>
                <w:szCs w:val="21"/>
              </w:rPr>
              <w:t>411</w:t>
            </w:r>
            <w:r>
              <w:rPr>
                <w:kern w:val="0"/>
                <w:szCs w:val="21"/>
              </w:rPr>
              <w:t>.</w:t>
            </w:r>
            <w:r>
              <w:rPr>
                <w:rFonts w:hint="eastAsia"/>
                <w:kern w:val="0"/>
                <w:szCs w:val="21"/>
              </w:rPr>
              <w:t>6</w:t>
            </w:r>
            <w:r>
              <w:rPr>
                <w:kern w:val="0"/>
                <w:szCs w:val="21"/>
              </w:rPr>
              <w:t>±</w:t>
            </w:r>
            <w:r>
              <w:rPr>
                <w:rFonts w:hint="eastAsia"/>
                <w:kern w:val="0"/>
                <w:szCs w:val="21"/>
              </w:rPr>
              <w:t>38</w:t>
            </w:r>
            <w:r w:rsidRPr="00285E21">
              <w:rPr>
                <w:kern w:val="0"/>
                <w:szCs w:val="21"/>
              </w:rPr>
              <w:t>.7</w:t>
            </w:r>
          </w:p>
        </w:tc>
        <w:tc>
          <w:tcPr>
            <w:tcW w:w="1522" w:type="dxa"/>
            <w:tcBorders>
              <w:top w:val="single" w:sz="12" w:space="0" w:color="FFFFFF"/>
              <w:left w:val="single" w:sz="12" w:space="0" w:color="FFFFFF"/>
              <w:bottom w:val="single" w:sz="12" w:space="0" w:color="FFFFFF"/>
              <w:right w:val="single" w:sz="12" w:space="0" w:color="FFFFFF"/>
            </w:tcBorders>
            <w:tcMar>
              <w:top w:w="15" w:type="dxa"/>
              <w:left w:w="15" w:type="dxa"/>
              <w:right w:w="15" w:type="dxa"/>
            </w:tcMar>
            <w:vAlign w:val="center"/>
          </w:tcPr>
          <w:p w14:paraId="4BF2C295" w14:textId="77777777" w:rsidR="008505F4" w:rsidRDefault="008505F4" w:rsidP="00003C98">
            <w:pPr>
              <w:jc w:val="center"/>
              <w:textAlignment w:val="center"/>
              <w:rPr>
                <w:szCs w:val="21"/>
              </w:rPr>
            </w:pPr>
            <w:r>
              <w:rPr>
                <w:rFonts w:hint="eastAsia"/>
                <w:kern w:val="0"/>
                <w:szCs w:val="21"/>
              </w:rPr>
              <w:t>186.3</w:t>
            </w:r>
            <w:r>
              <w:rPr>
                <w:kern w:val="0"/>
                <w:szCs w:val="21"/>
              </w:rPr>
              <w:t>±</w:t>
            </w:r>
            <w:r>
              <w:rPr>
                <w:rFonts w:hint="eastAsia"/>
                <w:kern w:val="0"/>
                <w:szCs w:val="21"/>
              </w:rPr>
              <w:t>25</w:t>
            </w:r>
            <w:r w:rsidRPr="00285E21">
              <w:rPr>
                <w:kern w:val="0"/>
                <w:szCs w:val="21"/>
              </w:rPr>
              <w:t>.7</w:t>
            </w:r>
            <w:r>
              <w:rPr>
                <w:szCs w:val="21"/>
              </w:rPr>
              <w:t xml:space="preserve"> </w:t>
            </w:r>
          </w:p>
        </w:tc>
        <w:tc>
          <w:tcPr>
            <w:tcW w:w="1579" w:type="dxa"/>
            <w:tcBorders>
              <w:top w:val="single" w:sz="12" w:space="0" w:color="FFFFFF"/>
              <w:left w:val="single" w:sz="12" w:space="0" w:color="FFFFFF"/>
              <w:bottom w:val="single" w:sz="12" w:space="0" w:color="FFFFFF"/>
              <w:right w:val="single" w:sz="12" w:space="0" w:color="FFFFFF"/>
            </w:tcBorders>
            <w:tcMar>
              <w:top w:w="15" w:type="dxa"/>
              <w:left w:w="15" w:type="dxa"/>
              <w:right w:w="15" w:type="dxa"/>
            </w:tcMar>
            <w:vAlign w:val="center"/>
          </w:tcPr>
          <w:p w14:paraId="3B1FAAF7" w14:textId="77777777" w:rsidR="008505F4" w:rsidRDefault="008505F4" w:rsidP="00003C98">
            <w:pPr>
              <w:jc w:val="center"/>
              <w:rPr>
                <w:szCs w:val="21"/>
              </w:rPr>
            </w:pPr>
            <w:r>
              <w:rPr>
                <w:rFonts w:hint="eastAsia"/>
                <w:szCs w:val="21"/>
              </w:rPr>
              <w:t>133</w:t>
            </w:r>
            <w:r>
              <w:rPr>
                <w:kern w:val="0"/>
                <w:szCs w:val="21"/>
              </w:rPr>
              <w:t>.</w:t>
            </w:r>
            <w:r>
              <w:rPr>
                <w:rFonts w:hint="eastAsia"/>
                <w:kern w:val="0"/>
                <w:szCs w:val="21"/>
              </w:rPr>
              <w:t>4</w:t>
            </w:r>
            <w:r>
              <w:rPr>
                <w:kern w:val="0"/>
                <w:szCs w:val="21"/>
              </w:rPr>
              <w:t>±</w:t>
            </w:r>
            <w:r>
              <w:rPr>
                <w:rFonts w:hint="eastAsia"/>
                <w:kern w:val="0"/>
                <w:szCs w:val="21"/>
              </w:rPr>
              <w:t>25</w:t>
            </w:r>
            <w:r w:rsidRPr="00285E21">
              <w:rPr>
                <w:kern w:val="0"/>
                <w:szCs w:val="21"/>
              </w:rPr>
              <w:t>.</w:t>
            </w:r>
            <w:r>
              <w:rPr>
                <w:rFonts w:hint="eastAsia"/>
                <w:kern w:val="0"/>
                <w:szCs w:val="21"/>
              </w:rPr>
              <w:t>4</w:t>
            </w:r>
            <w:r>
              <w:rPr>
                <w:szCs w:val="21"/>
              </w:rPr>
              <w:t xml:space="preserve"> </w:t>
            </w:r>
          </w:p>
        </w:tc>
      </w:tr>
      <w:tr w:rsidR="008505F4" w14:paraId="0E688F4F" w14:textId="77777777" w:rsidTr="00003C98">
        <w:trPr>
          <w:trHeight w:val="293"/>
        </w:trPr>
        <w:tc>
          <w:tcPr>
            <w:tcW w:w="935" w:type="dxa"/>
            <w:tcBorders>
              <w:top w:val="single" w:sz="12" w:space="0" w:color="FFFFFF"/>
              <w:left w:val="single" w:sz="12" w:space="0" w:color="FFFFFF"/>
              <w:bottom w:val="single" w:sz="12" w:space="0" w:color="000000"/>
              <w:right w:val="single" w:sz="12" w:space="0" w:color="FFFFFF"/>
            </w:tcBorders>
            <w:tcMar>
              <w:top w:w="15" w:type="dxa"/>
              <w:left w:w="15" w:type="dxa"/>
              <w:right w:w="15" w:type="dxa"/>
            </w:tcMar>
            <w:vAlign w:val="center"/>
          </w:tcPr>
          <w:p w14:paraId="05BA1239" w14:textId="77777777" w:rsidR="008505F4" w:rsidRDefault="008505F4" w:rsidP="00003C98">
            <w:pPr>
              <w:jc w:val="center"/>
              <w:textAlignment w:val="center"/>
              <w:rPr>
                <w:kern w:val="0"/>
                <w:szCs w:val="21"/>
              </w:rPr>
            </w:pPr>
            <w:r>
              <w:rPr>
                <w:rFonts w:hint="eastAsia"/>
                <w:kern w:val="0"/>
                <w:szCs w:val="21"/>
              </w:rPr>
              <w:t>P</w:t>
            </w:r>
            <w:r>
              <w:rPr>
                <w:rFonts w:hint="eastAsia"/>
                <w:kern w:val="0"/>
                <w:szCs w:val="21"/>
              </w:rPr>
              <w:t>值</w:t>
            </w:r>
          </w:p>
        </w:tc>
        <w:tc>
          <w:tcPr>
            <w:tcW w:w="1478" w:type="dxa"/>
            <w:tcBorders>
              <w:top w:val="single" w:sz="12" w:space="0" w:color="FFFFFF"/>
              <w:left w:val="single" w:sz="12" w:space="0" w:color="FFFFFF"/>
              <w:bottom w:val="single" w:sz="12" w:space="0" w:color="000000"/>
              <w:right w:val="single" w:sz="12" w:space="0" w:color="FFFFFF"/>
            </w:tcBorders>
            <w:tcMar>
              <w:top w:w="15" w:type="dxa"/>
              <w:left w:w="15" w:type="dxa"/>
              <w:right w:w="15" w:type="dxa"/>
            </w:tcMar>
            <w:vAlign w:val="center"/>
          </w:tcPr>
          <w:p w14:paraId="4E59CB8E" w14:textId="77777777" w:rsidR="008505F4" w:rsidRPr="006F60A5" w:rsidRDefault="008505F4" w:rsidP="00003C98">
            <w:pPr>
              <w:jc w:val="center"/>
              <w:textAlignment w:val="center"/>
              <w:rPr>
                <w:i/>
                <w:kern w:val="0"/>
                <w:szCs w:val="21"/>
              </w:rPr>
            </w:pPr>
            <w:r w:rsidRPr="006F60A5">
              <w:rPr>
                <w:i/>
                <w:kern w:val="0"/>
                <w:szCs w:val="21"/>
              </w:rPr>
              <w:t>P</w:t>
            </w:r>
            <w:r w:rsidRPr="006F60A5">
              <w:rPr>
                <w:rFonts w:hint="eastAsia"/>
                <w:i/>
                <w:kern w:val="0"/>
                <w:szCs w:val="21"/>
              </w:rPr>
              <w:t xml:space="preserve"> &gt; </w:t>
            </w:r>
            <w:r w:rsidRPr="006F60A5">
              <w:rPr>
                <w:i/>
                <w:kern w:val="0"/>
                <w:szCs w:val="21"/>
              </w:rPr>
              <w:t>0.05</w:t>
            </w:r>
          </w:p>
        </w:tc>
        <w:tc>
          <w:tcPr>
            <w:tcW w:w="1304" w:type="dxa"/>
            <w:tcBorders>
              <w:top w:val="single" w:sz="12" w:space="0" w:color="FFFFFF"/>
              <w:left w:val="single" w:sz="12" w:space="0" w:color="FFFFFF"/>
              <w:bottom w:val="single" w:sz="12" w:space="0" w:color="000000"/>
              <w:right w:val="single" w:sz="12" w:space="0" w:color="FFFFFF"/>
            </w:tcBorders>
            <w:tcMar>
              <w:top w:w="15" w:type="dxa"/>
              <w:left w:w="15" w:type="dxa"/>
              <w:right w:w="15" w:type="dxa"/>
            </w:tcMar>
            <w:vAlign w:val="center"/>
          </w:tcPr>
          <w:p w14:paraId="65E2DEED" w14:textId="77777777" w:rsidR="008505F4" w:rsidRPr="006F60A5" w:rsidRDefault="008505F4" w:rsidP="00003C98">
            <w:pPr>
              <w:jc w:val="center"/>
              <w:textAlignment w:val="center"/>
              <w:rPr>
                <w:rFonts w:hint="eastAsia"/>
                <w:i/>
                <w:kern w:val="0"/>
                <w:szCs w:val="21"/>
              </w:rPr>
            </w:pPr>
            <w:r w:rsidRPr="006F60A5">
              <w:rPr>
                <w:i/>
                <w:kern w:val="0"/>
                <w:szCs w:val="21"/>
              </w:rPr>
              <w:t>P</w:t>
            </w:r>
            <w:r w:rsidRPr="006F60A5">
              <w:rPr>
                <w:rFonts w:hint="eastAsia"/>
                <w:i/>
                <w:kern w:val="0"/>
                <w:szCs w:val="21"/>
              </w:rPr>
              <w:t xml:space="preserve"> &gt; </w:t>
            </w:r>
            <w:r w:rsidRPr="006F60A5">
              <w:rPr>
                <w:i/>
                <w:kern w:val="0"/>
                <w:szCs w:val="21"/>
              </w:rPr>
              <w:t>0.05</w:t>
            </w:r>
          </w:p>
        </w:tc>
        <w:tc>
          <w:tcPr>
            <w:tcW w:w="1479" w:type="dxa"/>
            <w:tcBorders>
              <w:top w:val="single" w:sz="12" w:space="0" w:color="FFFFFF"/>
              <w:left w:val="single" w:sz="12" w:space="0" w:color="FFFFFF"/>
              <w:bottom w:val="single" w:sz="12" w:space="0" w:color="000000"/>
              <w:right w:val="single" w:sz="12" w:space="0" w:color="FFFFFF"/>
            </w:tcBorders>
            <w:tcMar>
              <w:top w:w="15" w:type="dxa"/>
              <w:left w:w="15" w:type="dxa"/>
              <w:right w:w="15" w:type="dxa"/>
            </w:tcMar>
            <w:vAlign w:val="center"/>
          </w:tcPr>
          <w:p w14:paraId="4B8F09DB" w14:textId="77777777" w:rsidR="008505F4" w:rsidRPr="006F60A5" w:rsidRDefault="008505F4" w:rsidP="00003C98">
            <w:pPr>
              <w:jc w:val="center"/>
              <w:textAlignment w:val="center"/>
              <w:rPr>
                <w:rFonts w:hint="eastAsia"/>
                <w:i/>
                <w:kern w:val="0"/>
                <w:szCs w:val="21"/>
              </w:rPr>
            </w:pPr>
            <w:r w:rsidRPr="006F60A5">
              <w:rPr>
                <w:i/>
                <w:kern w:val="0"/>
                <w:szCs w:val="21"/>
              </w:rPr>
              <w:t>P</w:t>
            </w:r>
            <w:r w:rsidRPr="006F60A5">
              <w:rPr>
                <w:rFonts w:hint="eastAsia"/>
                <w:i/>
                <w:kern w:val="0"/>
                <w:szCs w:val="21"/>
              </w:rPr>
              <w:t xml:space="preserve"> </w:t>
            </w:r>
            <w:r w:rsidRPr="006F60A5">
              <w:rPr>
                <w:i/>
                <w:kern w:val="0"/>
                <w:szCs w:val="21"/>
              </w:rPr>
              <w:t>&lt;</w:t>
            </w:r>
            <w:r w:rsidRPr="006F60A5">
              <w:rPr>
                <w:rFonts w:hint="eastAsia"/>
                <w:i/>
                <w:kern w:val="0"/>
                <w:szCs w:val="21"/>
              </w:rPr>
              <w:t xml:space="preserve"> </w:t>
            </w:r>
            <w:r w:rsidRPr="006F60A5">
              <w:rPr>
                <w:i/>
                <w:kern w:val="0"/>
                <w:szCs w:val="21"/>
              </w:rPr>
              <w:t>0.05</w:t>
            </w:r>
          </w:p>
        </w:tc>
        <w:tc>
          <w:tcPr>
            <w:tcW w:w="1522" w:type="dxa"/>
            <w:tcBorders>
              <w:top w:val="single" w:sz="12" w:space="0" w:color="FFFFFF"/>
              <w:left w:val="single" w:sz="12" w:space="0" w:color="FFFFFF"/>
              <w:bottom w:val="single" w:sz="12" w:space="0" w:color="000000"/>
              <w:right w:val="single" w:sz="12" w:space="0" w:color="FFFFFF"/>
            </w:tcBorders>
            <w:tcMar>
              <w:top w:w="15" w:type="dxa"/>
              <w:left w:w="15" w:type="dxa"/>
              <w:right w:w="15" w:type="dxa"/>
            </w:tcMar>
            <w:vAlign w:val="center"/>
          </w:tcPr>
          <w:p w14:paraId="4979F5A4" w14:textId="77777777" w:rsidR="008505F4" w:rsidRPr="006F60A5" w:rsidRDefault="008505F4" w:rsidP="00003C98">
            <w:pPr>
              <w:jc w:val="center"/>
              <w:textAlignment w:val="center"/>
              <w:rPr>
                <w:i/>
                <w:kern w:val="0"/>
                <w:szCs w:val="21"/>
              </w:rPr>
            </w:pPr>
            <w:r w:rsidRPr="006F60A5">
              <w:rPr>
                <w:i/>
                <w:kern w:val="0"/>
                <w:szCs w:val="21"/>
              </w:rPr>
              <w:t>P</w:t>
            </w:r>
            <w:r w:rsidRPr="006F60A5">
              <w:rPr>
                <w:rFonts w:hint="eastAsia"/>
                <w:i/>
                <w:kern w:val="0"/>
                <w:szCs w:val="21"/>
              </w:rPr>
              <w:t xml:space="preserve"> </w:t>
            </w:r>
            <w:r w:rsidRPr="006F60A5">
              <w:rPr>
                <w:i/>
                <w:kern w:val="0"/>
                <w:szCs w:val="21"/>
              </w:rPr>
              <w:t>&lt;</w:t>
            </w:r>
            <w:r w:rsidRPr="006F60A5">
              <w:rPr>
                <w:rFonts w:hint="eastAsia"/>
                <w:i/>
                <w:kern w:val="0"/>
                <w:szCs w:val="21"/>
              </w:rPr>
              <w:t xml:space="preserve"> </w:t>
            </w:r>
            <w:r w:rsidRPr="006F60A5">
              <w:rPr>
                <w:i/>
                <w:kern w:val="0"/>
                <w:szCs w:val="21"/>
              </w:rPr>
              <w:t>0.05</w:t>
            </w:r>
          </w:p>
        </w:tc>
        <w:tc>
          <w:tcPr>
            <w:tcW w:w="1579" w:type="dxa"/>
            <w:tcBorders>
              <w:top w:val="single" w:sz="12" w:space="0" w:color="FFFFFF"/>
              <w:left w:val="single" w:sz="12" w:space="0" w:color="FFFFFF"/>
              <w:bottom w:val="single" w:sz="12" w:space="0" w:color="000000"/>
              <w:right w:val="single" w:sz="12" w:space="0" w:color="FFFFFF"/>
            </w:tcBorders>
            <w:tcMar>
              <w:top w:w="15" w:type="dxa"/>
              <w:left w:w="15" w:type="dxa"/>
              <w:right w:w="15" w:type="dxa"/>
            </w:tcMar>
            <w:vAlign w:val="center"/>
          </w:tcPr>
          <w:p w14:paraId="66D181AC" w14:textId="77777777" w:rsidR="008505F4" w:rsidRPr="006F60A5" w:rsidRDefault="008505F4" w:rsidP="00003C98">
            <w:pPr>
              <w:jc w:val="center"/>
              <w:rPr>
                <w:i/>
                <w:szCs w:val="21"/>
              </w:rPr>
            </w:pPr>
            <w:r w:rsidRPr="006F60A5">
              <w:rPr>
                <w:i/>
                <w:kern w:val="0"/>
                <w:szCs w:val="21"/>
              </w:rPr>
              <w:t>P</w:t>
            </w:r>
            <w:r w:rsidRPr="006F60A5">
              <w:rPr>
                <w:rFonts w:hint="eastAsia"/>
                <w:i/>
                <w:kern w:val="0"/>
                <w:szCs w:val="21"/>
              </w:rPr>
              <w:t xml:space="preserve"> </w:t>
            </w:r>
            <w:r w:rsidRPr="006F60A5">
              <w:rPr>
                <w:i/>
                <w:kern w:val="0"/>
                <w:szCs w:val="21"/>
              </w:rPr>
              <w:t>&lt;</w:t>
            </w:r>
            <w:r w:rsidRPr="006F60A5">
              <w:rPr>
                <w:rFonts w:hint="eastAsia"/>
                <w:i/>
                <w:kern w:val="0"/>
                <w:szCs w:val="21"/>
              </w:rPr>
              <w:t xml:space="preserve"> </w:t>
            </w:r>
            <w:r w:rsidRPr="006F60A5">
              <w:rPr>
                <w:i/>
                <w:kern w:val="0"/>
                <w:szCs w:val="21"/>
              </w:rPr>
              <w:t>0.05</w:t>
            </w:r>
          </w:p>
        </w:tc>
      </w:tr>
    </w:tbl>
    <w:p w14:paraId="5C4E8BC9" w14:textId="77777777" w:rsidR="008505F4" w:rsidRDefault="008505F4" w:rsidP="008505F4">
      <w:pPr>
        <w:jc w:val="left"/>
        <w:rPr>
          <w:rFonts w:ascii="宋体" w:hAnsi="宋体" w:cs="宋体"/>
          <w:kern w:val="0"/>
        </w:rPr>
      </w:pPr>
    </w:p>
    <w:p w14:paraId="4C557FCD" w14:textId="77777777" w:rsidR="008505F4" w:rsidRDefault="008505F4" w:rsidP="008505F4">
      <w:pPr>
        <w:rPr>
          <w:rFonts w:hint="eastAsia"/>
          <w:b/>
          <w:bCs/>
        </w:rPr>
      </w:pPr>
      <w:r>
        <w:rPr>
          <w:rFonts w:hint="eastAsia"/>
          <w:b/>
          <w:bCs/>
        </w:rPr>
        <w:t xml:space="preserve">2.4 </w:t>
      </w:r>
      <w:r>
        <w:rPr>
          <w:rFonts w:hint="eastAsia"/>
          <w:b/>
          <w:bCs/>
        </w:rPr>
        <w:t>两组</w:t>
      </w:r>
      <w:r>
        <w:rPr>
          <w:b/>
          <w:bCs/>
          <w:szCs w:val="21"/>
        </w:rPr>
        <w:t>患者并发症、中转手术和死亡</w:t>
      </w:r>
      <w:r>
        <w:rPr>
          <w:rFonts w:hint="eastAsia"/>
          <w:b/>
          <w:bCs/>
          <w:szCs w:val="21"/>
        </w:rPr>
        <w:t>率比较</w:t>
      </w:r>
    </w:p>
    <w:p w14:paraId="0714B6E4" w14:textId="77777777" w:rsidR="008505F4" w:rsidRDefault="008505F4" w:rsidP="008505F4">
      <w:pPr>
        <w:ind w:firstLineChars="200" w:firstLine="480"/>
        <w:rPr>
          <w:rFonts w:hint="eastAsia"/>
        </w:rPr>
      </w:pPr>
      <w:r>
        <w:rPr>
          <w:rFonts w:hint="eastAsia"/>
        </w:rPr>
        <w:t>如表</w:t>
      </w:r>
      <w:r>
        <w:rPr>
          <w:rFonts w:hint="eastAsia"/>
        </w:rPr>
        <w:t>4</w:t>
      </w:r>
      <w:r>
        <w:rPr>
          <w:rFonts w:hint="eastAsia"/>
        </w:rPr>
        <w:t>所示，与对照组比较，联合组并发症发生率和中转手术率更低</w:t>
      </w:r>
      <w:r>
        <w:rPr>
          <w:rFonts w:hint="eastAsia"/>
        </w:rPr>
        <w:t>(</w:t>
      </w:r>
      <w:r>
        <w:rPr>
          <w:rFonts w:hint="eastAsia"/>
          <w:i/>
          <w:iCs/>
        </w:rPr>
        <w:t>P</w:t>
      </w:r>
      <w:r>
        <w:rPr>
          <w:rFonts w:hint="eastAsia"/>
        </w:rPr>
        <w:t>&lt;0.05)</w:t>
      </w:r>
      <w:r>
        <w:rPr>
          <w:rFonts w:hint="eastAsia"/>
        </w:rPr>
        <w:t>，但死亡率在两组间差异无统计学意义</w:t>
      </w:r>
      <w:r>
        <w:rPr>
          <w:rFonts w:hint="eastAsia"/>
        </w:rPr>
        <w:t>(</w:t>
      </w:r>
      <w:r>
        <w:rPr>
          <w:rFonts w:hint="eastAsia"/>
          <w:i/>
          <w:iCs/>
        </w:rPr>
        <w:t>P</w:t>
      </w:r>
      <w:r>
        <w:rPr>
          <w:rFonts w:hint="eastAsia"/>
        </w:rPr>
        <w:t>&gt;0.05)</w:t>
      </w:r>
      <w:r>
        <w:rPr>
          <w:rFonts w:hint="eastAsia"/>
        </w:rPr>
        <w:t>。</w:t>
      </w:r>
      <w:r>
        <w:rPr>
          <w:rFonts w:hint="eastAsia"/>
        </w:rPr>
        <w:t xml:space="preserve"> </w:t>
      </w:r>
      <w:r>
        <w:rPr>
          <w:rFonts w:hint="eastAsia"/>
        </w:rPr>
        <w:t>其中对照组有</w:t>
      </w:r>
      <w:r>
        <w:rPr>
          <w:rFonts w:hint="eastAsia"/>
        </w:rPr>
        <w:t>8</w:t>
      </w:r>
      <w:r>
        <w:rPr>
          <w:rFonts w:hint="eastAsia"/>
        </w:rPr>
        <w:t>例发生相关并发症</w:t>
      </w:r>
      <w:r>
        <w:rPr>
          <w:rFonts w:hint="eastAsia"/>
        </w:rPr>
        <w:t>(</w:t>
      </w:r>
      <w:r>
        <w:rPr>
          <w:rFonts w:hint="eastAsia"/>
        </w:rPr>
        <w:t>胰腺假性囊肿</w:t>
      </w:r>
      <w:r>
        <w:rPr>
          <w:rFonts w:hint="eastAsia"/>
        </w:rPr>
        <w:t>6</w:t>
      </w:r>
      <w:r>
        <w:rPr>
          <w:rFonts w:hint="eastAsia"/>
        </w:rPr>
        <w:t>例，胰腺坏死伴感染</w:t>
      </w:r>
      <w:r>
        <w:rPr>
          <w:rFonts w:hint="eastAsia"/>
        </w:rPr>
        <w:t>2</w:t>
      </w:r>
      <w:r>
        <w:rPr>
          <w:rFonts w:hint="eastAsia"/>
        </w:rPr>
        <w:t>例</w:t>
      </w:r>
      <w:r>
        <w:rPr>
          <w:rFonts w:hint="eastAsia"/>
        </w:rPr>
        <w:t>)</w:t>
      </w:r>
      <w:r>
        <w:rPr>
          <w:rFonts w:hint="eastAsia"/>
        </w:rPr>
        <w:t>，</w:t>
      </w:r>
      <w:r>
        <w:rPr>
          <w:rFonts w:hint="eastAsia"/>
        </w:rPr>
        <w:t>2</w:t>
      </w:r>
      <w:r>
        <w:rPr>
          <w:rFonts w:hint="eastAsia"/>
        </w:rPr>
        <w:t>例患者死于胰腺坏死伴腹腔感染，以及进一步导致的感染性休克及多器官功能衰竭；治疗组有</w:t>
      </w:r>
      <w:r>
        <w:rPr>
          <w:rFonts w:hint="eastAsia"/>
        </w:rPr>
        <w:t>5</w:t>
      </w:r>
      <w:r>
        <w:rPr>
          <w:rFonts w:hint="eastAsia"/>
        </w:rPr>
        <w:t>例发生相关</w:t>
      </w:r>
      <w:r>
        <w:rPr>
          <w:rFonts w:hint="eastAsia"/>
        </w:rPr>
        <w:lastRenderedPageBreak/>
        <w:t>并发症</w:t>
      </w:r>
      <w:r>
        <w:rPr>
          <w:rFonts w:hint="eastAsia"/>
        </w:rPr>
        <w:t>(</w:t>
      </w:r>
      <w:r>
        <w:rPr>
          <w:rFonts w:hint="eastAsia"/>
        </w:rPr>
        <w:t>胰腺假性囊肿</w:t>
      </w:r>
      <w:r>
        <w:rPr>
          <w:rFonts w:hint="eastAsia"/>
        </w:rPr>
        <w:t>4</w:t>
      </w:r>
      <w:r>
        <w:rPr>
          <w:rFonts w:hint="eastAsia"/>
        </w:rPr>
        <w:t>例，胰腺坏死伴感染</w:t>
      </w:r>
      <w:r>
        <w:rPr>
          <w:rFonts w:hint="eastAsia"/>
        </w:rPr>
        <w:t>1</w:t>
      </w:r>
      <w:r>
        <w:rPr>
          <w:rFonts w:hint="eastAsia"/>
        </w:rPr>
        <w:t>例</w:t>
      </w:r>
      <w:r>
        <w:rPr>
          <w:rFonts w:hint="eastAsia"/>
        </w:rPr>
        <w:t>)</w:t>
      </w:r>
      <w:r>
        <w:rPr>
          <w:rFonts w:hint="eastAsia"/>
        </w:rPr>
        <w:t>，</w:t>
      </w:r>
      <w:r>
        <w:rPr>
          <w:rFonts w:hint="eastAsia"/>
        </w:rPr>
        <w:t>1</w:t>
      </w:r>
      <w:r>
        <w:rPr>
          <w:rFonts w:hint="eastAsia"/>
        </w:rPr>
        <w:t>例患者胰腺坏死后感染，死于后期的急性呼吸窘迫综合症及呼吸衰竭。</w:t>
      </w:r>
    </w:p>
    <w:p w14:paraId="40B8ED05" w14:textId="77777777" w:rsidR="008505F4" w:rsidRDefault="008505F4" w:rsidP="008505F4">
      <w:pPr>
        <w:jc w:val="center"/>
        <w:rPr>
          <w:szCs w:val="21"/>
        </w:rPr>
      </w:pPr>
    </w:p>
    <w:p w14:paraId="1169A865" w14:textId="77777777" w:rsidR="008505F4" w:rsidRDefault="008505F4" w:rsidP="008505F4">
      <w:pPr>
        <w:jc w:val="center"/>
        <w:rPr>
          <w:color w:val="FF0000"/>
          <w:szCs w:val="21"/>
        </w:rPr>
      </w:pPr>
      <w:r>
        <w:rPr>
          <w:szCs w:val="21"/>
        </w:rPr>
        <w:t>表</w:t>
      </w:r>
      <w:r>
        <w:rPr>
          <w:rFonts w:hint="eastAsia"/>
          <w:szCs w:val="21"/>
        </w:rPr>
        <w:t xml:space="preserve">4 </w:t>
      </w:r>
      <w:r>
        <w:rPr>
          <w:rFonts w:hint="eastAsia"/>
          <w:szCs w:val="21"/>
        </w:rPr>
        <w:t>两</w:t>
      </w:r>
      <w:r>
        <w:rPr>
          <w:szCs w:val="21"/>
        </w:rPr>
        <w:t>组患者并发症、中转手术和死亡比较</w:t>
      </w:r>
      <w:r>
        <w:rPr>
          <w:szCs w:val="21"/>
        </w:rPr>
        <w:t>[n(%)]</w:t>
      </w:r>
    </w:p>
    <w:tbl>
      <w:tblPr>
        <w:tblW w:w="0" w:type="auto"/>
        <w:tblInd w:w="-30" w:type="dxa"/>
        <w:tblLayout w:type="fixed"/>
        <w:tblCellMar>
          <w:left w:w="0" w:type="dxa"/>
          <w:right w:w="0" w:type="dxa"/>
        </w:tblCellMar>
        <w:tblLook w:val="0000" w:firstRow="0" w:lastRow="0" w:firstColumn="0" w:lastColumn="0" w:noHBand="0" w:noVBand="0"/>
      </w:tblPr>
      <w:tblGrid>
        <w:gridCol w:w="1080"/>
        <w:gridCol w:w="1336"/>
        <w:gridCol w:w="1882"/>
        <w:gridCol w:w="2181"/>
        <w:gridCol w:w="1855"/>
      </w:tblGrid>
      <w:tr w:rsidR="008505F4" w14:paraId="137B257F" w14:textId="77777777" w:rsidTr="00003C98">
        <w:trPr>
          <w:trHeight w:val="285"/>
        </w:trPr>
        <w:tc>
          <w:tcPr>
            <w:tcW w:w="1080" w:type="dxa"/>
            <w:tcBorders>
              <w:top w:val="single" w:sz="12" w:space="0" w:color="000000"/>
              <w:left w:val="single" w:sz="12" w:space="0" w:color="FFFFFF"/>
              <w:bottom w:val="single" w:sz="12" w:space="0" w:color="000000"/>
              <w:right w:val="single" w:sz="12" w:space="0" w:color="FFFFFF"/>
            </w:tcBorders>
            <w:tcMar>
              <w:top w:w="15" w:type="dxa"/>
              <w:left w:w="15" w:type="dxa"/>
              <w:right w:w="15" w:type="dxa"/>
            </w:tcMar>
            <w:vAlign w:val="center"/>
          </w:tcPr>
          <w:p w14:paraId="1D6DDA6C" w14:textId="77777777" w:rsidR="008505F4" w:rsidRDefault="008505F4" w:rsidP="00003C98">
            <w:pPr>
              <w:jc w:val="center"/>
              <w:textAlignment w:val="center"/>
              <w:rPr>
                <w:szCs w:val="21"/>
              </w:rPr>
            </w:pPr>
            <w:r>
              <w:rPr>
                <w:kern w:val="0"/>
                <w:szCs w:val="21"/>
              </w:rPr>
              <w:t>组别</w:t>
            </w:r>
          </w:p>
        </w:tc>
        <w:tc>
          <w:tcPr>
            <w:tcW w:w="1336" w:type="dxa"/>
            <w:tcBorders>
              <w:top w:val="single" w:sz="12" w:space="0" w:color="000000"/>
              <w:left w:val="single" w:sz="12" w:space="0" w:color="FFFFFF"/>
              <w:bottom w:val="single" w:sz="12" w:space="0" w:color="000000"/>
              <w:right w:val="single" w:sz="12" w:space="0" w:color="FFFFFF"/>
            </w:tcBorders>
            <w:tcMar>
              <w:top w:w="15" w:type="dxa"/>
              <w:left w:w="15" w:type="dxa"/>
              <w:right w:w="15" w:type="dxa"/>
            </w:tcMar>
            <w:vAlign w:val="center"/>
          </w:tcPr>
          <w:p w14:paraId="1A612FC3" w14:textId="77777777" w:rsidR="008505F4" w:rsidRDefault="008505F4" w:rsidP="00003C98">
            <w:pPr>
              <w:jc w:val="center"/>
              <w:textAlignment w:val="center"/>
              <w:rPr>
                <w:szCs w:val="21"/>
              </w:rPr>
            </w:pPr>
            <w:r>
              <w:rPr>
                <w:kern w:val="0"/>
                <w:szCs w:val="21"/>
              </w:rPr>
              <w:t>n</w:t>
            </w:r>
          </w:p>
        </w:tc>
        <w:tc>
          <w:tcPr>
            <w:tcW w:w="1882" w:type="dxa"/>
            <w:tcBorders>
              <w:top w:val="single" w:sz="12" w:space="0" w:color="000000"/>
              <w:left w:val="single" w:sz="12" w:space="0" w:color="FFFFFF"/>
              <w:bottom w:val="single" w:sz="12" w:space="0" w:color="000000"/>
              <w:right w:val="single" w:sz="12" w:space="0" w:color="FFFFFF"/>
            </w:tcBorders>
            <w:tcMar>
              <w:top w:w="15" w:type="dxa"/>
              <w:left w:w="15" w:type="dxa"/>
              <w:right w:w="15" w:type="dxa"/>
            </w:tcMar>
            <w:vAlign w:val="center"/>
          </w:tcPr>
          <w:p w14:paraId="1D720D1B" w14:textId="77777777" w:rsidR="008505F4" w:rsidRDefault="008505F4" w:rsidP="00003C98">
            <w:pPr>
              <w:jc w:val="center"/>
              <w:textAlignment w:val="center"/>
              <w:rPr>
                <w:szCs w:val="21"/>
              </w:rPr>
            </w:pPr>
            <w:r>
              <w:rPr>
                <w:kern w:val="0"/>
                <w:szCs w:val="21"/>
              </w:rPr>
              <w:t>并发症</w:t>
            </w:r>
          </w:p>
        </w:tc>
        <w:tc>
          <w:tcPr>
            <w:tcW w:w="2181" w:type="dxa"/>
            <w:tcBorders>
              <w:top w:val="single" w:sz="12" w:space="0" w:color="000000"/>
              <w:left w:val="single" w:sz="12" w:space="0" w:color="FFFFFF"/>
              <w:bottom w:val="single" w:sz="12" w:space="0" w:color="000000"/>
              <w:right w:val="single" w:sz="12" w:space="0" w:color="FFFFFF"/>
            </w:tcBorders>
            <w:tcMar>
              <w:top w:w="15" w:type="dxa"/>
              <w:left w:w="15" w:type="dxa"/>
              <w:right w:w="15" w:type="dxa"/>
            </w:tcMar>
            <w:vAlign w:val="center"/>
          </w:tcPr>
          <w:p w14:paraId="3B6D804D" w14:textId="77777777" w:rsidR="008505F4" w:rsidRDefault="008505F4" w:rsidP="00003C98">
            <w:pPr>
              <w:jc w:val="center"/>
              <w:textAlignment w:val="center"/>
              <w:rPr>
                <w:szCs w:val="21"/>
              </w:rPr>
            </w:pPr>
            <w:r>
              <w:rPr>
                <w:kern w:val="0"/>
                <w:szCs w:val="21"/>
              </w:rPr>
              <w:t>中转手术</w:t>
            </w:r>
          </w:p>
        </w:tc>
        <w:tc>
          <w:tcPr>
            <w:tcW w:w="1855" w:type="dxa"/>
            <w:tcBorders>
              <w:top w:val="single" w:sz="12" w:space="0" w:color="000000"/>
              <w:left w:val="single" w:sz="12" w:space="0" w:color="FFFFFF"/>
              <w:bottom w:val="single" w:sz="12" w:space="0" w:color="000000"/>
              <w:right w:val="single" w:sz="12" w:space="0" w:color="FFFFFF"/>
            </w:tcBorders>
            <w:tcMar>
              <w:top w:w="15" w:type="dxa"/>
              <w:left w:w="15" w:type="dxa"/>
              <w:right w:w="15" w:type="dxa"/>
            </w:tcMar>
            <w:vAlign w:val="center"/>
          </w:tcPr>
          <w:p w14:paraId="72DFEC5A" w14:textId="77777777" w:rsidR="008505F4" w:rsidRDefault="008505F4" w:rsidP="00003C98">
            <w:pPr>
              <w:jc w:val="center"/>
              <w:textAlignment w:val="center"/>
              <w:rPr>
                <w:szCs w:val="21"/>
              </w:rPr>
            </w:pPr>
            <w:r>
              <w:rPr>
                <w:kern w:val="0"/>
                <w:szCs w:val="21"/>
              </w:rPr>
              <w:t>死亡</w:t>
            </w:r>
          </w:p>
        </w:tc>
      </w:tr>
      <w:tr w:rsidR="008505F4" w14:paraId="70DC7897" w14:textId="77777777" w:rsidTr="00003C98">
        <w:trPr>
          <w:trHeight w:val="285"/>
        </w:trPr>
        <w:tc>
          <w:tcPr>
            <w:tcW w:w="1080" w:type="dxa"/>
            <w:tcBorders>
              <w:top w:val="single" w:sz="12" w:space="0" w:color="000000"/>
              <w:left w:val="single" w:sz="12" w:space="0" w:color="FFFFFF"/>
              <w:bottom w:val="single" w:sz="12" w:space="0" w:color="FFFFFF"/>
              <w:right w:val="single" w:sz="12" w:space="0" w:color="FFFFFF"/>
            </w:tcBorders>
            <w:tcMar>
              <w:top w:w="15" w:type="dxa"/>
              <w:left w:w="15" w:type="dxa"/>
              <w:right w:w="15" w:type="dxa"/>
            </w:tcMar>
            <w:vAlign w:val="center"/>
          </w:tcPr>
          <w:p w14:paraId="765A22B8" w14:textId="77777777" w:rsidR="008505F4" w:rsidRDefault="008505F4" w:rsidP="00003C98">
            <w:pPr>
              <w:jc w:val="center"/>
              <w:textAlignment w:val="center"/>
              <w:rPr>
                <w:szCs w:val="21"/>
              </w:rPr>
            </w:pPr>
            <w:r>
              <w:rPr>
                <w:kern w:val="0"/>
                <w:szCs w:val="21"/>
              </w:rPr>
              <w:t>对照组</w:t>
            </w:r>
          </w:p>
        </w:tc>
        <w:tc>
          <w:tcPr>
            <w:tcW w:w="1336" w:type="dxa"/>
            <w:tcBorders>
              <w:top w:val="single" w:sz="12" w:space="0" w:color="000000"/>
              <w:left w:val="single" w:sz="12" w:space="0" w:color="FFFFFF"/>
              <w:bottom w:val="single" w:sz="12" w:space="0" w:color="FFFFFF"/>
              <w:right w:val="single" w:sz="12" w:space="0" w:color="FFFFFF"/>
            </w:tcBorders>
            <w:tcMar>
              <w:top w:w="15" w:type="dxa"/>
              <w:left w:w="15" w:type="dxa"/>
              <w:right w:w="15" w:type="dxa"/>
            </w:tcMar>
            <w:vAlign w:val="center"/>
          </w:tcPr>
          <w:p w14:paraId="7AF2E5C6" w14:textId="77777777" w:rsidR="008505F4" w:rsidRDefault="008505F4" w:rsidP="00003C98">
            <w:pPr>
              <w:jc w:val="center"/>
              <w:textAlignment w:val="center"/>
              <w:rPr>
                <w:szCs w:val="21"/>
              </w:rPr>
            </w:pPr>
            <w:r>
              <w:rPr>
                <w:kern w:val="0"/>
                <w:szCs w:val="21"/>
              </w:rPr>
              <w:t>32</w:t>
            </w:r>
          </w:p>
        </w:tc>
        <w:tc>
          <w:tcPr>
            <w:tcW w:w="1882" w:type="dxa"/>
            <w:tcBorders>
              <w:top w:val="single" w:sz="12" w:space="0" w:color="000000"/>
              <w:left w:val="single" w:sz="12" w:space="0" w:color="FFFFFF"/>
              <w:bottom w:val="single" w:sz="12" w:space="0" w:color="FFFFFF"/>
              <w:right w:val="single" w:sz="12" w:space="0" w:color="FFFFFF"/>
            </w:tcBorders>
            <w:tcMar>
              <w:top w:w="15" w:type="dxa"/>
              <w:left w:w="15" w:type="dxa"/>
              <w:right w:w="15" w:type="dxa"/>
            </w:tcMar>
            <w:vAlign w:val="center"/>
          </w:tcPr>
          <w:p w14:paraId="5365E393" w14:textId="77777777" w:rsidR="008505F4" w:rsidRDefault="008505F4" w:rsidP="00003C98">
            <w:pPr>
              <w:jc w:val="center"/>
              <w:textAlignment w:val="center"/>
              <w:rPr>
                <w:szCs w:val="21"/>
              </w:rPr>
            </w:pPr>
            <w:r>
              <w:rPr>
                <w:rFonts w:hint="eastAsia"/>
                <w:kern w:val="0"/>
                <w:szCs w:val="21"/>
              </w:rPr>
              <w:t>8(25.0%)</w:t>
            </w:r>
          </w:p>
        </w:tc>
        <w:tc>
          <w:tcPr>
            <w:tcW w:w="2181" w:type="dxa"/>
            <w:tcBorders>
              <w:top w:val="single" w:sz="12" w:space="0" w:color="000000"/>
              <w:left w:val="single" w:sz="12" w:space="0" w:color="FFFFFF"/>
              <w:bottom w:val="single" w:sz="12" w:space="0" w:color="FFFFFF"/>
              <w:right w:val="single" w:sz="12" w:space="0" w:color="FFFFFF"/>
            </w:tcBorders>
            <w:tcMar>
              <w:top w:w="15" w:type="dxa"/>
              <w:left w:w="15" w:type="dxa"/>
              <w:right w:w="15" w:type="dxa"/>
            </w:tcMar>
            <w:vAlign w:val="center"/>
          </w:tcPr>
          <w:p w14:paraId="06D867FB" w14:textId="77777777" w:rsidR="008505F4" w:rsidRDefault="008505F4" w:rsidP="00003C98">
            <w:pPr>
              <w:jc w:val="center"/>
              <w:textAlignment w:val="center"/>
              <w:rPr>
                <w:szCs w:val="21"/>
              </w:rPr>
            </w:pPr>
            <w:r>
              <w:rPr>
                <w:rFonts w:hint="eastAsia"/>
                <w:kern w:val="0"/>
                <w:szCs w:val="21"/>
              </w:rPr>
              <w:t>5(15.6%)</w:t>
            </w:r>
          </w:p>
        </w:tc>
        <w:tc>
          <w:tcPr>
            <w:tcW w:w="1855" w:type="dxa"/>
            <w:tcBorders>
              <w:top w:val="single" w:sz="12" w:space="0" w:color="000000"/>
              <w:left w:val="single" w:sz="12" w:space="0" w:color="FFFFFF"/>
              <w:bottom w:val="single" w:sz="12" w:space="0" w:color="FFFFFF"/>
              <w:right w:val="single" w:sz="12" w:space="0" w:color="FFFFFF"/>
            </w:tcBorders>
            <w:tcMar>
              <w:top w:w="15" w:type="dxa"/>
              <w:left w:w="15" w:type="dxa"/>
              <w:right w:w="15" w:type="dxa"/>
            </w:tcMar>
            <w:vAlign w:val="center"/>
          </w:tcPr>
          <w:p w14:paraId="3719B90A" w14:textId="77777777" w:rsidR="008505F4" w:rsidRDefault="008505F4" w:rsidP="00003C98">
            <w:pPr>
              <w:jc w:val="center"/>
              <w:textAlignment w:val="center"/>
              <w:rPr>
                <w:szCs w:val="21"/>
              </w:rPr>
            </w:pPr>
            <w:r>
              <w:rPr>
                <w:rFonts w:hint="eastAsia"/>
                <w:kern w:val="0"/>
                <w:szCs w:val="21"/>
              </w:rPr>
              <w:t>2(6.3%)</w:t>
            </w:r>
          </w:p>
        </w:tc>
      </w:tr>
      <w:tr w:rsidR="008505F4" w14:paraId="725114F5" w14:textId="77777777" w:rsidTr="00003C98">
        <w:trPr>
          <w:trHeight w:val="285"/>
        </w:trPr>
        <w:tc>
          <w:tcPr>
            <w:tcW w:w="1080" w:type="dxa"/>
            <w:tcBorders>
              <w:top w:val="single" w:sz="12" w:space="0" w:color="FFFFFF"/>
              <w:left w:val="single" w:sz="12" w:space="0" w:color="FFFFFF"/>
              <w:bottom w:val="single" w:sz="12" w:space="0" w:color="FFFFFF"/>
              <w:right w:val="single" w:sz="12" w:space="0" w:color="FFFFFF"/>
            </w:tcBorders>
            <w:tcMar>
              <w:top w:w="15" w:type="dxa"/>
              <w:left w:w="15" w:type="dxa"/>
              <w:right w:w="15" w:type="dxa"/>
            </w:tcMar>
            <w:vAlign w:val="center"/>
          </w:tcPr>
          <w:p w14:paraId="550B2F64" w14:textId="77777777" w:rsidR="008505F4" w:rsidRDefault="008505F4" w:rsidP="00003C98">
            <w:pPr>
              <w:jc w:val="center"/>
              <w:textAlignment w:val="center"/>
              <w:rPr>
                <w:szCs w:val="21"/>
              </w:rPr>
            </w:pPr>
            <w:r>
              <w:rPr>
                <w:kern w:val="0"/>
                <w:szCs w:val="21"/>
              </w:rPr>
              <w:t>联合组</w:t>
            </w:r>
          </w:p>
        </w:tc>
        <w:tc>
          <w:tcPr>
            <w:tcW w:w="1336" w:type="dxa"/>
            <w:tcBorders>
              <w:top w:val="single" w:sz="12" w:space="0" w:color="FFFFFF"/>
              <w:left w:val="single" w:sz="12" w:space="0" w:color="FFFFFF"/>
              <w:bottom w:val="single" w:sz="12" w:space="0" w:color="FFFFFF"/>
              <w:right w:val="single" w:sz="12" w:space="0" w:color="FFFFFF"/>
            </w:tcBorders>
            <w:tcMar>
              <w:top w:w="15" w:type="dxa"/>
              <w:left w:w="15" w:type="dxa"/>
              <w:right w:w="15" w:type="dxa"/>
            </w:tcMar>
            <w:vAlign w:val="center"/>
          </w:tcPr>
          <w:p w14:paraId="2925F6CE" w14:textId="77777777" w:rsidR="008505F4" w:rsidRDefault="008505F4" w:rsidP="00003C98">
            <w:pPr>
              <w:jc w:val="center"/>
              <w:textAlignment w:val="center"/>
              <w:rPr>
                <w:szCs w:val="21"/>
              </w:rPr>
            </w:pPr>
            <w:r>
              <w:rPr>
                <w:kern w:val="0"/>
                <w:szCs w:val="21"/>
              </w:rPr>
              <w:t>32</w:t>
            </w:r>
          </w:p>
        </w:tc>
        <w:tc>
          <w:tcPr>
            <w:tcW w:w="1882" w:type="dxa"/>
            <w:tcBorders>
              <w:top w:val="single" w:sz="12" w:space="0" w:color="FFFFFF"/>
              <w:left w:val="single" w:sz="12" w:space="0" w:color="FFFFFF"/>
              <w:bottom w:val="single" w:sz="12" w:space="0" w:color="FFFFFF"/>
              <w:right w:val="single" w:sz="12" w:space="0" w:color="FFFFFF"/>
            </w:tcBorders>
            <w:tcMar>
              <w:top w:w="15" w:type="dxa"/>
              <w:left w:w="15" w:type="dxa"/>
              <w:right w:w="15" w:type="dxa"/>
            </w:tcMar>
            <w:vAlign w:val="center"/>
          </w:tcPr>
          <w:p w14:paraId="307A10C2" w14:textId="77777777" w:rsidR="008505F4" w:rsidRDefault="008505F4" w:rsidP="00003C98">
            <w:pPr>
              <w:jc w:val="center"/>
              <w:textAlignment w:val="center"/>
              <w:rPr>
                <w:szCs w:val="21"/>
              </w:rPr>
            </w:pPr>
            <w:r>
              <w:rPr>
                <w:kern w:val="0"/>
                <w:szCs w:val="21"/>
              </w:rPr>
              <w:t>5</w:t>
            </w:r>
            <w:r>
              <w:rPr>
                <w:rFonts w:hint="eastAsia"/>
                <w:kern w:val="0"/>
                <w:szCs w:val="21"/>
              </w:rPr>
              <w:t>(15.6%)</w:t>
            </w:r>
          </w:p>
        </w:tc>
        <w:tc>
          <w:tcPr>
            <w:tcW w:w="2181" w:type="dxa"/>
            <w:tcBorders>
              <w:top w:val="single" w:sz="12" w:space="0" w:color="FFFFFF"/>
              <w:left w:val="single" w:sz="12" w:space="0" w:color="FFFFFF"/>
              <w:bottom w:val="single" w:sz="12" w:space="0" w:color="FFFFFF"/>
              <w:right w:val="single" w:sz="12" w:space="0" w:color="FFFFFF"/>
            </w:tcBorders>
            <w:tcMar>
              <w:top w:w="15" w:type="dxa"/>
              <w:left w:w="15" w:type="dxa"/>
              <w:right w:w="15" w:type="dxa"/>
            </w:tcMar>
            <w:vAlign w:val="center"/>
          </w:tcPr>
          <w:p w14:paraId="55E1A6BC" w14:textId="77777777" w:rsidR="008505F4" w:rsidRDefault="008505F4" w:rsidP="00003C98">
            <w:pPr>
              <w:jc w:val="center"/>
              <w:textAlignment w:val="center"/>
              <w:rPr>
                <w:szCs w:val="21"/>
              </w:rPr>
            </w:pPr>
            <w:r>
              <w:rPr>
                <w:rFonts w:hint="eastAsia"/>
                <w:kern w:val="0"/>
                <w:szCs w:val="21"/>
              </w:rPr>
              <w:t>2(6.3%)</w:t>
            </w:r>
          </w:p>
        </w:tc>
        <w:tc>
          <w:tcPr>
            <w:tcW w:w="1855" w:type="dxa"/>
            <w:tcBorders>
              <w:top w:val="single" w:sz="12" w:space="0" w:color="FFFFFF"/>
              <w:left w:val="single" w:sz="12" w:space="0" w:color="FFFFFF"/>
              <w:bottom w:val="single" w:sz="12" w:space="0" w:color="FFFFFF"/>
              <w:right w:val="single" w:sz="12" w:space="0" w:color="FFFFFF"/>
            </w:tcBorders>
            <w:tcMar>
              <w:top w:w="15" w:type="dxa"/>
              <w:left w:w="15" w:type="dxa"/>
              <w:right w:w="15" w:type="dxa"/>
            </w:tcMar>
            <w:vAlign w:val="center"/>
          </w:tcPr>
          <w:p w14:paraId="4CC66658" w14:textId="77777777" w:rsidR="008505F4" w:rsidRDefault="008505F4" w:rsidP="00003C98">
            <w:pPr>
              <w:jc w:val="center"/>
              <w:textAlignment w:val="center"/>
              <w:rPr>
                <w:szCs w:val="21"/>
              </w:rPr>
            </w:pPr>
            <w:r>
              <w:rPr>
                <w:rFonts w:hint="eastAsia"/>
                <w:kern w:val="0"/>
                <w:szCs w:val="21"/>
              </w:rPr>
              <w:t>1(3.1%)</w:t>
            </w:r>
          </w:p>
        </w:tc>
      </w:tr>
      <w:tr w:rsidR="008505F4" w14:paraId="468D0597" w14:textId="77777777" w:rsidTr="00003C98">
        <w:trPr>
          <w:trHeight w:val="285"/>
        </w:trPr>
        <w:tc>
          <w:tcPr>
            <w:tcW w:w="1080" w:type="dxa"/>
            <w:tcBorders>
              <w:top w:val="single" w:sz="12" w:space="0" w:color="FFFFFF"/>
              <w:left w:val="single" w:sz="12" w:space="0" w:color="FFFFFF"/>
              <w:bottom w:val="single" w:sz="12" w:space="0" w:color="000000"/>
              <w:right w:val="single" w:sz="12" w:space="0" w:color="FFFFFF"/>
            </w:tcBorders>
            <w:tcMar>
              <w:top w:w="15" w:type="dxa"/>
              <w:left w:w="15" w:type="dxa"/>
              <w:right w:w="15" w:type="dxa"/>
            </w:tcMar>
            <w:vAlign w:val="center"/>
          </w:tcPr>
          <w:p w14:paraId="2B9DF6C9" w14:textId="77777777" w:rsidR="008505F4" w:rsidRDefault="008505F4" w:rsidP="00003C98">
            <w:pPr>
              <w:jc w:val="center"/>
              <w:textAlignment w:val="center"/>
              <w:rPr>
                <w:kern w:val="0"/>
                <w:szCs w:val="21"/>
              </w:rPr>
            </w:pPr>
            <w:r>
              <w:rPr>
                <w:rFonts w:hint="eastAsia"/>
                <w:kern w:val="0"/>
                <w:szCs w:val="21"/>
              </w:rPr>
              <w:t>P</w:t>
            </w:r>
            <w:r>
              <w:rPr>
                <w:rFonts w:hint="eastAsia"/>
                <w:kern w:val="0"/>
                <w:szCs w:val="21"/>
              </w:rPr>
              <w:t>值</w:t>
            </w:r>
          </w:p>
        </w:tc>
        <w:tc>
          <w:tcPr>
            <w:tcW w:w="1336" w:type="dxa"/>
            <w:tcBorders>
              <w:top w:val="single" w:sz="12" w:space="0" w:color="FFFFFF"/>
              <w:left w:val="single" w:sz="12" w:space="0" w:color="FFFFFF"/>
              <w:bottom w:val="single" w:sz="12" w:space="0" w:color="000000"/>
              <w:right w:val="single" w:sz="12" w:space="0" w:color="FFFFFF"/>
            </w:tcBorders>
            <w:tcMar>
              <w:top w:w="15" w:type="dxa"/>
              <w:left w:w="15" w:type="dxa"/>
              <w:right w:w="15" w:type="dxa"/>
            </w:tcMar>
            <w:vAlign w:val="center"/>
          </w:tcPr>
          <w:p w14:paraId="6611598E" w14:textId="77777777" w:rsidR="008505F4" w:rsidRDefault="008505F4" w:rsidP="00003C98">
            <w:pPr>
              <w:jc w:val="center"/>
              <w:textAlignment w:val="center"/>
              <w:rPr>
                <w:kern w:val="0"/>
                <w:szCs w:val="21"/>
              </w:rPr>
            </w:pPr>
            <w:r w:rsidRPr="005A58A4">
              <w:rPr>
                <w:rFonts w:hint="eastAsia"/>
                <w:i/>
                <w:iCs/>
                <w:kern w:val="0"/>
                <w:szCs w:val="21"/>
              </w:rPr>
              <w:t>P</w:t>
            </w:r>
            <w:r>
              <w:rPr>
                <w:rFonts w:hint="eastAsia"/>
                <w:i/>
                <w:iCs/>
                <w:kern w:val="0"/>
                <w:szCs w:val="21"/>
              </w:rPr>
              <w:t xml:space="preserve"> </w:t>
            </w:r>
            <w:r w:rsidRPr="005A58A4">
              <w:rPr>
                <w:rFonts w:hint="eastAsia"/>
                <w:kern w:val="0"/>
                <w:szCs w:val="21"/>
              </w:rPr>
              <w:t>&lt;</w:t>
            </w:r>
            <w:r>
              <w:rPr>
                <w:rFonts w:hint="eastAsia"/>
                <w:kern w:val="0"/>
                <w:szCs w:val="21"/>
              </w:rPr>
              <w:t xml:space="preserve"> </w:t>
            </w:r>
            <w:r w:rsidRPr="005A58A4">
              <w:rPr>
                <w:rFonts w:hint="eastAsia"/>
                <w:kern w:val="0"/>
                <w:szCs w:val="21"/>
              </w:rPr>
              <w:t>0.05</w:t>
            </w:r>
          </w:p>
        </w:tc>
        <w:tc>
          <w:tcPr>
            <w:tcW w:w="1882" w:type="dxa"/>
            <w:tcBorders>
              <w:top w:val="single" w:sz="12" w:space="0" w:color="FFFFFF"/>
              <w:left w:val="single" w:sz="12" w:space="0" w:color="FFFFFF"/>
              <w:bottom w:val="single" w:sz="12" w:space="0" w:color="000000"/>
              <w:right w:val="single" w:sz="12" w:space="0" w:color="FFFFFF"/>
            </w:tcBorders>
            <w:tcMar>
              <w:top w:w="15" w:type="dxa"/>
              <w:left w:w="15" w:type="dxa"/>
              <w:right w:w="15" w:type="dxa"/>
            </w:tcMar>
            <w:vAlign w:val="center"/>
          </w:tcPr>
          <w:p w14:paraId="42A582F0" w14:textId="77777777" w:rsidR="008505F4" w:rsidRDefault="008505F4" w:rsidP="00003C98">
            <w:pPr>
              <w:jc w:val="center"/>
              <w:textAlignment w:val="center"/>
              <w:rPr>
                <w:kern w:val="0"/>
                <w:szCs w:val="21"/>
              </w:rPr>
            </w:pPr>
            <w:r>
              <w:rPr>
                <w:rFonts w:hint="eastAsia"/>
                <w:i/>
                <w:iCs/>
              </w:rPr>
              <w:t xml:space="preserve">P </w:t>
            </w:r>
            <w:r>
              <w:rPr>
                <w:rFonts w:hint="eastAsia"/>
              </w:rPr>
              <w:t>&lt; 0.05</w:t>
            </w:r>
          </w:p>
        </w:tc>
        <w:tc>
          <w:tcPr>
            <w:tcW w:w="2181" w:type="dxa"/>
            <w:tcBorders>
              <w:top w:val="single" w:sz="12" w:space="0" w:color="FFFFFF"/>
              <w:left w:val="single" w:sz="12" w:space="0" w:color="FFFFFF"/>
              <w:bottom w:val="single" w:sz="12" w:space="0" w:color="000000"/>
              <w:right w:val="single" w:sz="12" w:space="0" w:color="FFFFFF"/>
            </w:tcBorders>
            <w:tcMar>
              <w:top w:w="15" w:type="dxa"/>
              <w:left w:w="15" w:type="dxa"/>
              <w:right w:w="15" w:type="dxa"/>
            </w:tcMar>
            <w:vAlign w:val="center"/>
          </w:tcPr>
          <w:p w14:paraId="629D0FAC" w14:textId="77777777" w:rsidR="008505F4" w:rsidRDefault="008505F4" w:rsidP="00003C98">
            <w:pPr>
              <w:jc w:val="center"/>
              <w:textAlignment w:val="center"/>
              <w:rPr>
                <w:rFonts w:hint="eastAsia"/>
                <w:kern w:val="0"/>
                <w:szCs w:val="21"/>
              </w:rPr>
            </w:pPr>
            <w:r>
              <w:rPr>
                <w:rFonts w:hint="eastAsia"/>
                <w:i/>
                <w:iCs/>
              </w:rPr>
              <w:t xml:space="preserve">P </w:t>
            </w:r>
            <w:r>
              <w:rPr>
                <w:rFonts w:hint="eastAsia"/>
              </w:rPr>
              <w:t>&lt; 0.05</w:t>
            </w:r>
          </w:p>
        </w:tc>
        <w:tc>
          <w:tcPr>
            <w:tcW w:w="1855" w:type="dxa"/>
            <w:tcBorders>
              <w:top w:val="single" w:sz="12" w:space="0" w:color="FFFFFF"/>
              <w:left w:val="single" w:sz="12" w:space="0" w:color="FFFFFF"/>
              <w:bottom w:val="single" w:sz="12" w:space="0" w:color="000000"/>
              <w:right w:val="single" w:sz="12" w:space="0" w:color="FFFFFF"/>
            </w:tcBorders>
            <w:tcMar>
              <w:top w:w="15" w:type="dxa"/>
              <w:left w:w="15" w:type="dxa"/>
              <w:right w:w="15" w:type="dxa"/>
            </w:tcMar>
            <w:vAlign w:val="center"/>
          </w:tcPr>
          <w:p w14:paraId="3E6F1532" w14:textId="77777777" w:rsidR="008505F4" w:rsidRDefault="008505F4" w:rsidP="00003C98">
            <w:pPr>
              <w:jc w:val="center"/>
              <w:textAlignment w:val="center"/>
              <w:rPr>
                <w:rFonts w:hint="eastAsia"/>
                <w:kern w:val="0"/>
                <w:szCs w:val="21"/>
              </w:rPr>
            </w:pPr>
            <w:r>
              <w:rPr>
                <w:rFonts w:hint="eastAsia"/>
                <w:i/>
                <w:iCs/>
              </w:rPr>
              <w:t xml:space="preserve">P </w:t>
            </w:r>
            <w:r>
              <w:rPr>
                <w:rFonts w:hint="eastAsia"/>
              </w:rPr>
              <w:t>&gt; 0.05</w:t>
            </w:r>
          </w:p>
        </w:tc>
      </w:tr>
    </w:tbl>
    <w:p w14:paraId="2B1C574F" w14:textId="77777777" w:rsidR="008505F4" w:rsidRDefault="008505F4" w:rsidP="008505F4">
      <w:pPr>
        <w:rPr>
          <w:rFonts w:hint="eastAsia"/>
          <w:b/>
          <w:bCs/>
        </w:rPr>
      </w:pPr>
    </w:p>
    <w:p w14:paraId="794E494A" w14:textId="77777777" w:rsidR="008505F4" w:rsidRDefault="008505F4" w:rsidP="008505F4">
      <w:pPr>
        <w:rPr>
          <w:rFonts w:hint="eastAsia"/>
          <w:b/>
          <w:bCs/>
        </w:rPr>
      </w:pPr>
      <w:r>
        <w:rPr>
          <w:rFonts w:hint="eastAsia"/>
          <w:b/>
          <w:bCs/>
        </w:rPr>
        <w:t>讨论</w:t>
      </w:r>
    </w:p>
    <w:p w14:paraId="4B5E82AF" w14:textId="77777777" w:rsidR="008505F4" w:rsidRDefault="008505F4" w:rsidP="008505F4">
      <w:pPr>
        <w:ind w:firstLineChars="200" w:firstLine="480"/>
        <w:rPr>
          <w:rFonts w:hint="eastAsia"/>
          <w:color w:val="000000"/>
        </w:rPr>
      </w:pPr>
      <w:r>
        <w:rPr>
          <w:rFonts w:hint="eastAsia"/>
        </w:rPr>
        <w:t>我们知道</w:t>
      </w:r>
      <w:r>
        <w:rPr>
          <w:rFonts w:hint="eastAsia"/>
        </w:rPr>
        <w:t>AP</w:t>
      </w:r>
      <w:r>
        <w:rPr>
          <w:rFonts w:hint="eastAsia"/>
        </w:rPr>
        <w:t>主要是胆石症、饮酒及暴饮暴食等各种原因导致的胰酶激活，继以胰腺局部炎症反应为主要特征的常见急腹症之一</w:t>
      </w:r>
      <w:r>
        <w:fldChar w:fldCharType="begin"/>
      </w:r>
      <w:r>
        <w:rPr>
          <w:rFonts w:hint="eastAsia"/>
        </w:rPr>
        <w:instrText xml:space="preserve"> ADDIN EN.CITE &lt;EndNote&gt;&lt;Cite&gt;&lt;Author&gt;</w:instrText>
      </w:r>
      <w:r>
        <w:rPr>
          <w:rFonts w:hint="eastAsia"/>
        </w:rPr>
        <w:instrText>中华医学会消化病学分会胰腺疾病学组</w:instrText>
      </w:r>
      <w:r>
        <w:rPr>
          <w:rFonts w:hint="eastAsia"/>
        </w:rPr>
        <w:instrText>&lt;/Author&gt;&lt;Year&gt;2013&lt;/Year&gt;&lt;RecNum&gt;15&lt;/RecNum&gt;&lt;DisplayText&gt;[9]&lt;/DisplayText&gt;&lt;record&gt;&lt;rec-number&gt;15&lt;/rec-number&gt;&lt;foreign-keys&gt;&lt;key app="EN" db-id="fewtes0xoxd9pres5a1x50drpvxz0zpzavs0"&gt;15&lt;/key&gt;&lt;/foreign-keys&gt;&lt;ref-type name="Journal Article"&gt;17&lt;/ref-type&gt;&lt;contributors&gt;&lt;authors&gt;&lt;author&gt;</w:instrText>
      </w:r>
      <w:r>
        <w:rPr>
          <w:rFonts w:hint="eastAsia"/>
        </w:rPr>
        <w:instrText>中华医学会消化病学分会胰腺疾病学组</w:instrText>
      </w:r>
      <w:r>
        <w:rPr>
          <w:rFonts w:hint="eastAsia"/>
        </w:rPr>
        <w:instrText>&lt;/author&gt;&lt;/authors&gt;&lt;/contributors&gt;&lt;titles&gt;&lt;title&gt;</w:instrText>
      </w:r>
      <w:r>
        <w:rPr>
          <w:rFonts w:hint="eastAsia"/>
        </w:rPr>
        <w:instrText>中国急性胰腺炎诊治指南</w:instrText>
      </w:r>
      <w:r>
        <w:rPr>
          <w:rFonts w:hint="eastAsia"/>
        </w:rPr>
        <w:instrText>(2013</w:instrText>
      </w:r>
      <w:r>
        <w:rPr>
          <w:rFonts w:hint="eastAsia"/>
        </w:rPr>
        <w:instrText>年</w:instrText>
      </w:r>
      <w:r>
        <w:rPr>
          <w:rFonts w:hint="eastAsia"/>
        </w:rPr>
        <w:instrText>,</w:instrText>
      </w:r>
      <w:r>
        <w:rPr>
          <w:rFonts w:hint="eastAsia"/>
        </w:rPr>
        <w:instrText>上海</w:instrText>
      </w:r>
      <w:r>
        <w:rPr>
          <w:rFonts w:hint="eastAsia"/>
        </w:rPr>
        <w:instrText>)&lt;/title&gt;&lt;secondary-title&gt;</w:instrText>
      </w:r>
      <w:r>
        <w:rPr>
          <w:rFonts w:hint="eastAsia"/>
        </w:rPr>
        <w:instrText>中国实用内科杂志</w:instrText>
      </w:r>
      <w:r>
        <w:rPr>
          <w:rFonts w:hint="eastAsia"/>
        </w:rPr>
        <w:instrText>&lt;/secondary-title&gt;&lt;/titles&gt;&lt;periodical&gt;&lt;full-title&gt;</w:instrText>
      </w:r>
      <w:r>
        <w:rPr>
          <w:rFonts w:hint="eastAsia"/>
        </w:rPr>
        <w:instrText>中国实用内科杂志</w:instrText>
      </w:r>
      <w:r>
        <w:rPr>
          <w:rFonts w:hint="eastAsia"/>
        </w:rPr>
        <w:instrText>&lt;/full-title&gt;&lt;/periodical&gt;&lt;pages&gt;530-535&lt;/pages&gt;&lt;volume&gt;29&lt;/volume&gt;&lt;number&gt;9&lt;/number&gt;&lt;dates&gt;&lt;year&gt;2013&lt;/year&gt;&lt;/dates&gt;&lt;urls&gt;&lt;/urls&gt;&lt;/record&gt;&lt;/Cite&gt;&lt;/EndNote&gt;</w:instrText>
      </w:r>
      <w:r>
        <w:fldChar w:fldCharType="separate"/>
      </w:r>
      <w:r>
        <w:rPr>
          <w:noProof/>
        </w:rPr>
        <w:t>[</w:t>
      </w:r>
      <w:hyperlink w:anchor="_ENREF_9" w:tooltip="中华医学会消化病学分会胰腺疾病学组, 2013 #15" w:history="1">
        <w:r>
          <w:rPr>
            <w:noProof/>
          </w:rPr>
          <w:t>9</w:t>
        </w:r>
      </w:hyperlink>
      <w:r>
        <w:rPr>
          <w:noProof/>
        </w:rPr>
        <w:t>]</w:t>
      </w:r>
      <w:r>
        <w:fldChar w:fldCharType="end"/>
      </w:r>
      <w:r>
        <w:rPr>
          <w:rFonts w:hint="eastAsia"/>
        </w:rPr>
        <w:t>。其中病情较重者发展为</w:t>
      </w:r>
      <w:r>
        <w:rPr>
          <w:rFonts w:hint="eastAsia"/>
        </w:rPr>
        <w:t>SAP</w:t>
      </w:r>
      <w:r>
        <w:fldChar w:fldCharType="begin"/>
      </w:r>
      <w:r>
        <w:instrText xml:space="preserve"> ADDIN EN.CITE &lt;EndNote&gt;&lt;Cite&gt;&lt;Author&gt;Banks&lt;/Author&gt;&lt;Year&gt;2013&lt;/Year&gt;&lt;RecNum&gt;4&lt;/RecNum&gt;&lt;DisplayText&gt;[10]&lt;/DisplayText&gt;&lt;record&gt;&lt;rec-number&gt;4&lt;/rec-number&gt;&lt;foreign-keys&gt;&lt;key app="EN" db-id="fewtes0xoxd9pres5a1x50drpvxz0zpzavs0"&gt;4&lt;/key&gt;&lt;/foreign-keys&gt;&lt;ref-type name="Journal Article"&gt;17&lt;/ref-type&gt;&lt;contributors&gt;&lt;authors&gt;&lt;author&gt;Banks, P. A.&lt;/author&gt;&lt;author&gt;Bollen, T. L.&lt;/author&gt;&lt;author&gt;Dervenis, C.&lt;/author&gt;&lt;author&gt;Gooszen, H. G.&lt;/author&gt;&lt;author&gt;Johnson, C. D.&lt;/author&gt;&lt;author&gt;Sarr, M. G.&lt;/author&gt;&lt;author&gt;Tsiotos, G. G.&lt;/author&gt;&lt;author&gt;Vege, S. S.&lt;/author&gt;&lt;author&gt;Acute Pancreatitis Classification Working, Group&lt;/author&gt;&lt;/authors&gt;&lt;/contributors&gt;&lt;auth-address&gt;Division of Gastroenterology, Hepatology, and Endoscopy, Harvard Medical School, Brigham and Women&amp;apos;s Hospital, Boston, Massachusetts, USA.&lt;/auth-address&gt;&lt;titles&gt;&lt;title&gt;Classification of acute pancreatitis--2012: revision of the Atlanta classification and definitions by international consensus&lt;/title&gt;&lt;secondary-title&gt;Gut&lt;/secondary-title&gt;&lt;alt-title&gt;Gut&lt;/alt-title&gt;&lt;/titles&gt;&lt;periodical&gt;&lt;full-title&gt;Gut&lt;/full-title&gt;&lt;abbr-1&gt;Gut&lt;/abbr-1&gt;&lt;/periodical&gt;&lt;alt-periodical&gt;&lt;full-title&gt;Gut&lt;/full-title&gt;&lt;abbr-1&gt;Gut&lt;/abbr-1&gt;&lt;/alt-periodical&gt;&lt;pages&gt;102-11&lt;/pages&gt;&lt;volume&gt;62&lt;/volume&gt;&lt;number&gt;1&lt;/number&gt;&lt;keywords&gt;&lt;keyword&gt;Acute Disease&lt;/keyword&gt;&lt;keyword&gt;Disease Progression&lt;/keyword&gt;&lt;keyword&gt;Humans&lt;/keyword&gt;&lt;keyword&gt;Pancreatitis/*classification/complications/diagnosis/radiography&lt;/keyword&gt;&lt;keyword&gt;Severity of Illness Index&lt;/keyword&gt;&lt;keyword&gt;Tomography, X-Ray Computed&lt;/keyword&gt;&lt;/keywords&gt;&lt;dates&gt;&lt;year&gt;2013&lt;/year&gt;&lt;pub-dates&gt;&lt;date&gt;Jan&lt;/date&gt;&lt;/pub-dates&gt;&lt;/dates&gt;&lt;isbn&gt;1468-3288 (Electronic)&amp;#xD;0017-5749 (Linking)&lt;/isbn&gt;&lt;accession-num&gt;23100216&lt;/accession-num&gt;&lt;urls&gt;&lt;related-urls&gt;&lt;url&gt;http://www.ncbi.nlm.nih.gov/pubmed/23100216&lt;/url&gt;&lt;/related-urls&gt;&lt;/urls&gt;&lt;electronic-resource-num&gt;10.1136/gutjnl-2012-302779&lt;/electronic-resource-num&gt;&lt;/record&gt;&lt;/Cite&gt;&lt;/EndNote&gt;</w:instrText>
      </w:r>
      <w:r>
        <w:fldChar w:fldCharType="separate"/>
      </w:r>
      <w:r>
        <w:rPr>
          <w:noProof/>
        </w:rPr>
        <w:t>[</w:t>
      </w:r>
      <w:hyperlink w:anchor="_ENREF_10" w:tooltip="Banks, 2013 #4" w:history="1">
        <w:r>
          <w:rPr>
            <w:noProof/>
          </w:rPr>
          <w:t>10</w:t>
        </w:r>
      </w:hyperlink>
      <w:r>
        <w:rPr>
          <w:noProof/>
        </w:rPr>
        <w:t>]</w:t>
      </w:r>
      <w:r>
        <w:fldChar w:fldCharType="end"/>
      </w:r>
      <w:r>
        <w:rPr>
          <w:rFonts w:hint="eastAsia"/>
        </w:rPr>
        <w:t>，其占所有</w:t>
      </w:r>
      <w:r>
        <w:rPr>
          <w:rFonts w:hint="eastAsia"/>
        </w:rPr>
        <w:t>AP</w:t>
      </w:r>
      <w:r>
        <w:rPr>
          <w:rFonts w:hint="eastAsia"/>
        </w:rPr>
        <w:t>患者的</w:t>
      </w:r>
      <w:r>
        <w:rPr>
          <w:rFonts w:hint="eastAsia"/>
        </w:rPr>
        <w:t>10~20%</w:t>
      </w:r>
      <w:r>
        <w:rPr>
          <w:rFonts w:hint="eastAsia"/>
        </w:rPr>
        <w:t>。但</w:t>
      </w:r>
      <w:r>
        <w:rPr>
          <w:rFonts w:hint="eastAsia"/>
        </w:rPr>
        <w:t>SAP</w:t>
      </w:r>
      <w:r>
        <w:rPr>
          <w:rFonts w:hint="eastAsia"/>
        </w:rPr>
        <w:t>病情发展迅速，并发症多，病死率高</w:t>
      </w:r>
      <w:r>
        <w:fldChar w:fldCharType="begin"/>
      </w:r>
      <w:r>
        <w:rPr>
          <w:rFonts w:hint="eastAsia"/>
        </w:rPr>
        <w:instrText xml:space="preserve"> ADDIN EN.CITE &lt;EndNote&gt;&lt;Cite&gt;&lt;Author&gt;</w:instrText>
      </w:r>
      <w:r>
        <w:rPr>
          <w:rFonts w:hint="eastAsia"/>
        </w:rPr>
        <w:instrText>中华医学会消化病学分会胰腺疾病学组</w:instrText>
      </w:r>
      <w:r>
        <w:rPr>
          <w:rFonts w:hint="eastAsia"/>
        </w:rPr>
        <w:instrText>&lt;/Author&gt;&lt;Year&gt;2013&lt;/Year&gt;&lt;RecNum&gt;15&lt;/RecNum&gt;&lt;DisplayText&gt;[2, 9]&lt;/DisplayText&gt;&lt;record&gt;&lt;rec-number&gt;15&lt;/rec-number&gt;&lt;foreign-keys&gt;&lt;key app="EN" db-id="fewtes0xoxd9pres5a1x50drpvxz0zpzavs0"&gt;15&lt;/key&gt;&lt;/foreign-keys&gt;&lt;ref-type name="Journal Article"&gt;17&lt;/ref-type&gt;&lt;contributors&gt;&lt;authors&gt;&lt;author&gt;</w:instrText>
      </w:r>
      <w:r>
        <w:rPr>
          <w:rFonts w:hint="eastAsia"/>
        </w:rPr>
        <w:instrText>中华医学会消化病学分会胰腺疾病学组</w:instrText>
      </w:r>
      <w:r>
        <w:rPr>
          <w:rFonts w:hint="eastAsia"/>
        </w:rPr>
        <w:instrText>&lt;/author&gt;&lt;/authors&gt;&lt;/contributors&gt;&lt;titles&gt;&lt;title&gt;</w:instrText>
      </w:r>
      <w:r>
        <w:rPr>
          <w:rFonts w:hint="eastAsia"/>
        </w:rPr>
        <w:instrText>中国急性胰腺炎诊治指南</w:instrText>
      </w:r>
      <w:r>
        <w:rPr>
          <w:rFonts w:hint="eastAsia"/>
        </w:rPr>
        <w:instrText>(2013</w:instrText>
      </w:r>
      <w:r>
        <w:rPr>
          <w:rFonts w:hint="eastAsia"/>
        </w:rPr>
        <w:instrText>年</w:instrText>
      </w:r>
      <w:r>
        <w:rPr>
          <w:rFonts w:hint="eastAsia"/>
        </w:rPr>
        <w:instrText>,</w:instrText>
      </w:r>
      <w:r>
        <w:rPr>
          <w:rFonts w:hint="eastAsia"/>
        </w:rPr>
        <w:instrText>上海</w:instrText>
      </w:r>
      <w:r>
        <w:rPr>
          <w:rFonts w:hint="eastAsia"/>
        </w:rPr>
        <w:instrText>)&lt;/title&gt;&lt;secondary-title&gt;</w:instrText>
      </w:r>
      <w:r>
        <w:rPr>
          <w:rFonts w:hint="eastAsia"/>
        </w:rPr>
        <w:instrText>中国实用内科杂志</w:instrText>
      </w:r>
      <w:r>
        <w:rPr>
          <w:rFonts w:hint="eastAsia"/>
        </w:rPr>
        <w:instrText>&lt;/secondary-title&gt;&lt;/titles&gt;&lt;periodical&gt;&lt;full-title&gt;</w:instrText>
      </w:r>
      <w:r>
        <w:rPr>
          <w:rFonts w:hint="eastAsia"/>
        </w:rPr>
        <w:instrText>中国实用内科杂志</w:instrText>
      </w:r>
      <w:r>
        <w:rPr>
          <w:rFonts w:hint="eastAsia"/>
        </w:rPr>
        <w:instrText>&lt;/full-title&gt;&lt;/periodical&gt;&lt;pages&gt;530-535&lt;/pages&gt;&lt;volume&gt;29&lt;/volume&gt;&lt;number&gt;9&lt;/number&gt;&lt;dates&gt;&lt;year&gt;2013&lt;/year&gt;&lt;/dates&gt;&lt;urls&gt;&lt;/urls&gt;&lt;/record&gt;&lt;/Cite&gt;&lt;Cite&gt;&lt;Author&gt;Isaji&lt;/Author&gt;&lt;Year&gt;2015&lt;/Year&gt;&lt;RecNum&gt;2&lt;/RecNum&gt;&lt;record&gt;&lt;rec-number&gt;2&lt;/rec-number&gt;&lt;f</w:instrText>
      </w:r>
      <w:r>
        <w:instrText>oreign-keys&gt;&lt;key app="EN" db-id="fewtes0xoxd9pres5a1x50drpvxz0zpzavs0"&gt;2&lt;/key&gt;&lt;/foreign-keys&gt;&lt;ref-type name="Journal Article"&gt;17&lt;/ref-type&gt;&lt;contributors&gt;&lt;authors&gt;&lt;author&gt;Isaji, Shuji&lt;/author&gt;&lt;author&gt;Takada, Tadahiro&lt;/author&gt;&lt;author&gt;Mayumi, Toshihiro&lt;/author&gt;&lt;author&gt;Yoshida, Masahiro&lt;/author&gt;&lt;author&gt;Wada, Keita&lt;/author&gt;&lt;author&gt;Yokoe, Masamichi&lt;/author&gt;&lt;author&gt;Itoi, Takao&lt;/author&gt;&lt;author&gt;Gabata, Toshifumi&lt;/author&gt;&lt;/authors&gt;&lt;/contributors&gt;&lt;titles&gt;&lt;title&gt;Revised Japanese guidelines for the management of acute pancreatitis 2015: revised concepts and updated points&lt;/title&gt;&lt;secondary-title&gt;Journal of hepato-biliary-pancreatic sciences&lt;/secondary-title&gt;&lt;/titles&gt;&lt;periodical&gt;&lt;full-title&gt;Journal of hepato-biliary-pancreatic sciences&lt;/full-title&gt;&lt;/periodical&gt;&lt;pages&gt;433-445&lt;/pages&gt;&lt;volume&gt;22&lt;/volume&gt;&lt;number&gt;6&lt;/number&gt;&lt;dates&gt;&lt;year&gt;2015&lt;/year&gt;&lt;/dates&gt;&lt;urls&gt;&lt;/urls&gt;&lt;/record&gt;&lt;/Cite&gt;&lt;/EndNote&gt;</w:instrText>
      </w:r>
      <w:r>
        <w:fldChar w:fldCharType="separate"/>
      </w:r>
      <w:r>
        <w:rPr>
          <w:noProof/>
        </w:rPr>
        <w:t>[</w:t>
      </w:r>
      <w:hyperlink w:anchor="_ENREF_2" w:tooltip="Isaji, 2015 #2" w:history="1">
        <w:r>
          <w:rPr>
            <w:noProof/>
          </w:rPr>
          <w:t>2</w:t>
        </w:r>
      </w:hyperlink>
      <w:r>
        <w:rPr>
          <w:noProof/>
        </w:rPr>
        <w:t xml:space="preserve">, </w:t>
      </w:r>
      <w:hyperlink w:anchor="_ENREF_9" w:tooltip="中华医学会消化病学分会胰腺疾病学组, 2013 #15" w:history="1">
        <w:r>
          <w:rPr>
            <w:noProof/>
          </w:rPr>
          <w:t>9</w:t>
        </w:r>
      </w:hyperlink>
      <w:r>
        <w:rPr>
          <w:noProof/>
        </w:rPr>
        <w:t>]</w:t>
      </w:r>
      <w:r>
        <w:fldChar w:fldCharType="end"/>
      </w:r>
      <w:r>
        <w:rPr>
          <w:rFonts w:hint="eastAsia"/>
        </w:rPr>
        <w:t>。因此，对于</w:t>
      </w:r>
      <w:r>
        <w:rPr>
          <w:rFonts w:hint="eastAsia"/>
        </w:rPr>
        <w:t>SAP</w:t>
      </w:r>
      <w:r>
        <w:rPr>
          <w:rFonts w:hint="eastAsia"/>
        </w:rPr>
        <w:t>的研究，一直以来受到人们的重视，但其发生发展却受多种因素影响</w:t>
      </w:r>
      <w:r>
        <w:fldChar w:fldCharType="begin"/>
      </w:r>
      <w:r>
        <w:instrText xml:space="preserve"> ADDIN EN.CITE &lt;EndNote&gt;&lt;Cite&gt;&lt;Author&gt;Dhaliwal&lt;/Author&gt;&lt;Year&gt;2010&lt;/Year&gt;&lt;RecNum&gt;16&lt;/RecNum&gt;&lt;DisplayText&gt;[11, 12]&lt;/DisplayText&gt;&lt;record&gt;&lt;rec-number&gt;16&lt;/rec-number&gt;&lt;foreign-keys&gt;&lt;key app="EN" db-id="fewtes0xoxd9pres5a1x50drpvxz0zpzavs0"&gt;16&lt;/key&gt;&lt;/foreign-keys&gt;&lt;ref-type name="Journal Article"&gt;17&lt;/ref-type&gt;&lt;contributors&gt;&lt;authors&gt;&lt;author&gt;Dhaliwal, R&lt;/author&gt;&lt;author&gt;Madden, S. M.&lt;/author&gt;&lt;author&gt;Cahill, N&lt;/author&gt;&lt;author&gt;Jeejeebhoy, K&lt;/author&gt;&lt;author&gt;Kutsogiannis, J&lt;/author&gt;&lt;author&gt;Muscedere, J&lt;/author&gt;&lt;author&gt;Mcclave, S&lt;/author&gt;&lt;author&gt;Heyland, D. K.&lt;/author&gt;&lt;/authors&gt;&lt;/contributors&gt;&lt;titles&gt;&lt;title&gt;Guidelines, guidelines, guidelines: what are we to do with all of these North American guidelines?&lt;/title&gt;&lt;secondary-title&gt;Journal of Parenteral &amp;amp; Enteral Nutrition&lt;/secondary-title&gt;&lt;/titles&gt;&lt;periodical&gt;&lt;full-title&gt;Journal of Parenteral &amp;amp; Enteral Nutrition&lt;/full-title&gt;&lt;/periodical&gt;&lt;pages&gt;625-643&lt;/pages&gt;&lt;volume&gt;34&lt;/volume&gt;&lt;number&gt;6&lt;/number&gt;&lt;dates&gt;&lt;year&gt;2010&lt;/year&gt;&lt;/dates&gt;&lt;urls&gt;&lt;/urls&gt;&lt;/record&gt;&lt;/Cite&gt;&lt;Cite&gt;&lt;Author&gt;Karpavicius&lt;/Author&gt;&lt;Year&gt;2012&lt;/Year&gt;&lt;RecNum&gt;17&lt;/RecNum&gt;&lt;record&gt;&lt;rec-number&gt;17&lt;/rec-number&gt;&lt;foreign-keys&gt;&lt;key app="EN" db-id="fewtes0xoxd9pres5a1x50drpvxz0zpzavs0"&gt;17&lt;/key&gt;&lt;/foreign-keys&gt;&lt;ref-type name="Journal Article"&gt;17&lt;/ref-type&gt;&lt;contributors&gt;&lt;authors&gt;&lt;author&gt;Karpavicius, Andrius&lt;/author&gt;&lt;author&gt;Dambrauskas, Zilvinas&lt;/author&gt;&lt;author&gt;Sileikis, Audrius&lt;/author&gt;&lt;author&gt;Vitkus, Dalius&lt;/author&gt;&lt;author&gt;Strupas, Kestutis&lt;/author&gt;&lt;/authors&gt;&lt;/contributors&gt;&lt;titles&gt;&lt;title&gt;Value of adipokines in predicting the severity of acute pancreatitis: Comprehensive review&lt;/title&gt;&lt;secondary-title&gt;World Journal of Gastroenterology&lt;/secondary-title&gt;&lt;/titles&gt;&lt;periodical&gt;&lt;full-title&gt;World Journal of Gastroenterology&lt;/full-title&gt;&lt;/periodical&gt;&lt;pages&gt;6620-6627&lt;/pages&gt;&lt;volume&gt;18&lt;/volume&gt;&lt;number&gt;45&lt;/number&gt;&lt;dates&gt;&lt;year&gt;2012&lt;/year&gt;&lt;/dates&gt;&lt;urls&gt;&lt;/urls&gt;&lt;/record&gt;&lt;/Cite&gt;&lt;/EndNote&gt;</w:instrText>
      </w:r>
      <w:r>
        <w:fldChar w:fldCharType="separate"/>
      </w:r>
      <w:r>
        <w:rPr>
          <w:noProof/>
        </w:rPr>
        <w:t>[</w:t>
      </w:r>
      <w:hyperlink w:anchor="_ENREF_11" w:tooltip="Dhaliwal, 2010 #16" w:history="1">
        <w:r>
          <w:rPr>
            <w:noProof/>
          </w:rPr>
          <w:t>11</w:t>
        </w:r>
      </w:hyperlink>
      <w:r>
        <w:rPr>
          <w:noProof/>
        </w:rPr>
        <w:t xml:space="preserve">, </w:t>
      </w:r>
      <w:hyperlink w:anchor="_ENREF_12" w:tooltip="Karpavicius, 2012 #17" w:history="1">
        <w:r>
          <w:rPr>
            <w:noProof/>
          </w:rPr>
          <w:t>12</w:t>
        </w:r>
      </w:hyperlink>
      <w:r>
        <w:rPr>
          <w:noProof/>
        </w:rPr>
        <w:t>]</w:t>
      </w:r>
      <w:r>
        <w:fldChar w:fldCharType="end"/>
      </w:r>
      <w:r>
        <w:rPr>
          <w:rFonts w:hint="eastAsia"/>
        </w:rPr>
        <w:t>。近来有学者提出，微循环与</w:t>
      </w:r>
      <w:r>
        <w:rPr>
          <w:rFonts w:hint="eastAsia"/>
        </w:rPr>
        <w:t>SAP</w:t>
      </w:r>
      <w:r>
        <w:rPr>
          <w:rFonts w:hint="eastAsia"/>
        </w:rPr>
        <w:t>的发生和进展关系密切。微循环障碍是</w:t>
      </w:r>
      <w:r>
        <w:rPr>
          <w:rFonts w:hint="eastAsia"/>
        </w:rPr>
        <w:t>S A P</w:t>
      </w:r>
      <w:r>
        <w:rPr>
          <w:rFonts w:hint="eastAsia"/>
        </w:rPr>
        <w:t>进展进而引起胰腺组织坏死、</w:t>
      </w:r>
      <w:r>
        <w:rPr>
          <w:rFonts w:hint="eastAsia"/>
        </w:rPr>
        <w:t xml:space="preserve"> </w:t>
      </w:r>
      <w:r>
        <w:rPr>
          <w:rFonts w:hint="eastAsia"/>
        </w:rPr>
        <w:t>自溶的主要因素</w:t>
      </w:r>
      <w:r>
        <w:fldChar w:fldCharType="begin"/>
      </w:r>
      <w:r>
        <w:instrText xml:space="preserve"> ADDIN EN.CITE &lt;EndNote&gt;&lt;Cite&gt;&lt;Author&gt;Zhang&lt;/Author&gt;&lt;Year&gt;2009&lt;/Year&gt;&lt;RecNum&gt;18&lt;/RecNum&gt;&lt;DisplayText&gt;[13]&lt;/DisplayText&gt;&lt;record&gt;&lt;rec-number&gt;18&lt;/rec-number&gt;&lt;foreign-keys&gt;&lt;key app="EN" db-id="fewtes0xoxd9pres5a1x50drpvxz0zpzavs0"&gt;18&lt;/key&gt;&lt;/foreign-keys&gt;&lt;ref-type name="Journal Article"&gt;17&lt;/ref-type&gt;&lt;contributors&gt;&lt;authors&gt;&lt;author&gt;Zhang, Xi Ping&lt;/author&gt;&lt;author&gt;Li, Zhi Jun&lt;/author&gt;&lt;author&gt;Zhang, Jie&lt;/author&gt;&lt;/authors&gt;&lt;/contributors&gt;&lt;titles&gt;&lt;title&gt;Inlfammatory mediators and microcirculatory disturbance in acute pancreatitis&lt;/title&gt;&lt;secondary-title&gt;Hepatobiliary &amp;amp; Pancreatic Diseases International Hbpd Int&lt;/secondary-title&gt;&lt;/titles&gt;&lt;periodical&gt;&lt;full-title&gt;Hepatobiliary &amp;amp; Pancreatic Diseases International Hbpd Int&lt;/full-title&gt;&lt;/periodical&gt;&lt;pages&gt;351-357&lt;/pages&gt;&lt;volume&gt;8&lt;/volume&gt;&lt;number&gt;4&lt;/number&gt;&lt;dates&gt;&lt;year&gt;2009&lt;/year&gt;&lt;/dates&gt;&lt;urls&gt;&lt;/urls&gt;&lt;/record&gt;&lt;/Cite&gt;&lt;/EndNote&gt;</w:instrText>
      </w:r>
      <w:r>
        <w:fldChar w:fldCharType="separate"/>
      </w:r>
      <w:r>
        <w:rPr>
          <w:noProof/>
        </w:rPr>
        <w:t>[</w:t>
      </w:r>
      <w:hyperlink w:anchor="_ENREF_13" w:tooltip="Zhang, 2009 #18" w:history="1">
        <w:r>
          <w:rPr>
            <w:noProof/>
          </w:rPr>
          <w:t>13</w:t>
        </w:r>
      </w:hyperlink>
      <w:r>
        <w:rPr>
          <w:noProof/>
        </w:rPr>
        <w:t>]</w:t>
      </w:r>
      <w:r>
        <w:fldChar w:fldCharType="end"/>
      </w:r>
      <w:r>
        <w:rPr>
          <w:rFonts w:hint="eastAsia"/>
        </w:rPr>
        <w:t>。</w:t>
      </w:r>
      <w:r>
        <w:rPr>
          <w:rFonts w:hint="eastAsia"/>
          <w:color w:val="000000"/>
        </w:rPr>
        <w:t>学者</w:t>
      </w:r>
      <w:proofErr w:type="spellStart"/>
      <w:r>
        <w:rPr>
          <w:rFonts w:hint="eastAsia"/>
          <w:color w:val="000000"/>
        </w:rPr>
        <w:t>Heider</w:t>
      </w:r>
      <w:proofErr w:type="spellEnd"/>
      <w:r>
        <w:rPr>
          <w:rFonts w:hint="eastAsia"/>
          <w:color w:val="000000"/>
        </w:rPr>
        <w:t xml:space="preserve"> P</w:t>
      </w:r>
      <w:r>
        <w:rPr>
          <w:color w:val="000000"/>
        </w:rPr>
        <w:t xml:space="preserve"> </w:t>
      </w:r>
      <w:r>
        <w:rPr>
          <w:color w:val="000000"/>
        </w:rPr>
        <w:fldChar w:fldCharType="begin"/>
      </w:r>
      <w:r>
        <w:rPr>
          <w:color w:val="000000"/>
        </w:rPr>
        <w:instrText xml:space="preserve"> ADDIN EN.CITE &lt;EndNote&gt;&lt;Cite&gt;&lt;Author&gt;Heider&lt;/Author&gt;&lt;Year&gt;2008&lt;/Year&gt;&lt;RecNum&gt;7&lt;/RecNum&gt;&lt;DisplayText&gt;[5]&lt;/DisplayText&gt;&lt;record&gt;&lt;rec-number&gt;7&lt;/rec-number&gt;&lt;foreign-keys&gt;&lt;key app="EN" db-id="fewtes0xoxd9pres5a1x50drpvxz0zpzavs0"&gt;7&lt;/key&gt;&lt;/foreign-keys&gt;&lt;ref-type name="Journal Article"&gt;17&lt;/ref-type&gt;&lt;contributors&gt;&lt;authors&gt;&lt;author&gt;Heider, Peter&lt;/author&gt;&lt;author&gt;Wildgruber, Moritz&lt;/author&gt;&lt;author&gt;Wolf, Oliver&lt;/author&gt;&lt;author&gt;Schuster, Tibor&lt;/author&gt;&lt;author&gt;Lutzenberger, Werner&lt;/author&gt;&lt;author&gt;Berger, Hermann&lt;/author&gt;&lt;author&gt;Eckstein, Hans Henning&lt;/author&gt;&lt;/authors&gt;&lt;/contributors&gt;&lt;titles&gt;&lt;title&gt;Improvement of microcirculation after percutaneous transluminal angioplasty in the lower limb with prostaglandin E1&lt;/title&gt;&lt;secondary-title&gt;Prostaglandins &amp;amp; Other Lipid Mediators&lt;/secondary-title&gt;&lt;/titles&gt;&lt;periodical&gt;&lt;full-title&gt;Prostaglandins &amp;amp; Other Lipid Mediators&lt;/full-title&gt;&lt;/periodical&gt;&lt;pages&gt;23-30&lt;/pages&gt;&lt;volume&gt;88&lt;/volume&gt;&lt;number&gt;1-2&lt;/number&gt;&lt;dates&gt;&lt;year&gt;2008&lt;/year&gt;&lt;/dates&gt;&lt;urls&gt;&lt;/urls&gt;&lt;/record&gt;&lt;/Cite&gt;&lt;/EndNote&gt;</w:instrText>
      </w:r>
      <w:r>
        <w:rPr>
          <w:color w:val="000000"/>
        </w:rPr>
        <w:fldChar w:fldCharType="separate"/>
      </w:r>
      <w:r>
        <w:rPr>
          <w:noProof/>
          <w:color w:val="000000"/>
        </w:rPr>
        <w:t>[</w:t>
      </w:r>
      <w:hyperlink w:anchor="_ENREF_5" w:tooltip="Heider, 2008 #7" w:history="1">
        <w:r>
          <w:rPr>
            <w:noProof/>
            <w:color w:val="000000"/>
          </w:rPr>
          <w:t>5</w:t>
        </w:r>
      </w:hyperlink>
      <w:r>
        <w:rPr>
          <w:noProof/>
          <w:color w:val="000000"/>
        </w:rPr>
        <w:t>]</w:t>
      </w:r>
      <w:r>
        <w:rPr>
          <w:color w:val="000000"/>
        </w:rPr>
        <w:fldChar w:fldCharType="end"/>
      </w:r>
      <w:r w:rsidRPr="00A23FD4">
        <w:rPr>
          <w:rFonts w:hint="eastAsia"/>
          <w:color w:val="000000"/>
        </w:rPr>
        <w:t xml:space="preserve"> </w:t>
      </w:r>
      <w:r>
        <w:rPr>
          <w:rFonts w:hint="eastAsia"/>
          <w:color w:val="000000"/>
        </w:rPr>
        <w:t>等的研究表明，前列地尔（</w:t>
      </w:r>
      <w:r w:rsidRPr="005A582F">
        <w:rPr>
          <w:rFonts w:hint="eastAsia"/>
          <w:color w:val="000000"/>
        </w:rPr>
        <w:t>Prostaglandin E1</w:t>
      </w:r>
      <w:r>
        <w:rPr>
          <w:rFonts w:hint="eastAsia"/>
          <w:color w:val="000000"/>
        </w:rPr>
        <w:t>，</w:t>
      </w:r>
      <w:r>
        <w:rPr>
          <w:rFonts w:hint="eastAsia"/>
          <w:color w:val="000000"/>
        </w:rPr>
        <w:t>PGE1</w:t>
      </w:r>
      <w:r>
        <w:rPr>
          <w:rFonts w:hint="eastAsia"/>
          <w:color w:val="000000"/>
        </w:rPr>
        <w:t>）可</w:t>
      </w:r>
      <w:r w:rsidRPr="00EA48A3">
        <w:rPr>
          <w:rFonts w:hint="eastAsia"/>
          <w:color w:val="000000"/>
        </w:rPr>
        <w:t>通过多</w:t>
      </w:r>
      <w:r>
        <w:rPr>
          <w:rFonts w:hint="eastAsia"/>
          <w:color w:val="000000"/>
        </w:rPr>
        <w:t>种途径，改善微循环。但也有学者认为</w:t>
      </w:r>
      <w:r>
        <w:rPr>
          <w:rFonts w:hint="eastAsia"/>
          <w:color w:val="000000"/>
        </w:rPr>
        <w:t>PGE1</w:t>
      </w:r>
      <w:r>
        <w:rPr>
          <w:rFonts w:hint="eastAsia"/>
          <w:color w:val="000000"/>
        </w:rPr>
        <w:t>除了对于微循环的改善以外，还可通过保护胰腺细胞膜的稳定性，阻止胰腺细胞被胰酶消化破坏</w:t>
      </w:r>
      <w:r>
        <w:rPr>
          <w:color w:val="000000"/>
        </w:rPr>
        <w:fldChar w:fldCharType="begin"/>
      </w:r>
      <w:r>
        <w:rPr>
          <w:color w:val="000000"/>
        </w:rPr>
        <w:instrText xml:space="preserve"> ADDIN EN.CITE &lt;EndNote&gt;&lt;Cite&gt;&lt;Author&gt;Piri&lt;/Author&gt;&lt;Year&gt;2002&lt;/Year&gt;&lt;RecNum&gt;9&lt;/RecNum&gt;&lt;DisplayText&gt;[14]&lt;/DisplayText&gt;&lt;record&gt;&lt;rec-number&gt;9&lt;/rec-number&gt;&lt;foreign-keys&gt;&lt;key app="EN" db-id="fewtes0xoxd9pres5a1x50drpvxz0zpzavs0"&gt;9&lt;/key&gt;&lt;/foreign-keys&gt;&lt;ref-type name="Journal Article"&gt;17&lt;/ref-type&gt;&lt;contributors&gt;&lt;authors&gt;&lt;author&gt;Piri, M&lt;/author&gt;&lt;author&gt;Alhan, E&lt;/author&gt;&lt;author&gt;Küçüktülü, U&lt;/author&gt;&lt;author&gt;Erçin, C&lt;/author&gt;&lt;author&gt;Deger, O&lt;/author&gt;&lt;author&gt;Yücel, K&lt;/author&gt;&lt;author&gt;Cicek, R&lt;/author&gt;&lt;/authors&gt;&lt;/contributors&gt;&lt;titles&gt;&lt;title&gt;The effects of prostaglandin E1 on the microperfusion of the pancreas during acute necrotizing pancreatitis in rats&lt;/title&gt;&lt;secondary-title&gt;Hepato-gastroenterology&lt;/secondary-title&gt;&lt;/titles&gt;&lt;periodical&gt;&lt;full-title&gt;Hepato-gastroenterology&lt;/full-title&gt;&lt;/periodical&gt;&lt;pages&gt;544-548&lt;/pages&gt;&lt;volume&gt;49&lt;/volume&gt;&lt;number&gt;44&lt;/number&gt;&lt;dates&gt;&lt;year&gt;2002&lt;/year&gt;&lt;/dates&gt;&lt;urls&gt;&lt;/urls&gt;&lt;/record&gt;&lt;/Cite&gt;&lt;/EndNote&gt;</w:instrText>
      </w:r>
      <w:r>
        <w:rPr>
          <w:color w:val="000000"/>
        </w:rPr>
        <w:fldChar w:fldCharType="separate"/>
      </w:r>
      <w:r>
        <w:rPr>
          <w:noProof/>
          <w:color w:val="000000"/>
        </w:rPr>
        <w:t>[</w:t>
      </w:r>
      <w:hyperlink w:anchor="_ENREF_14" w:tooltip="Piri, 2002 #9" w:history="1">
        <w:r>
          <w:rPr>
            <w:noProof/>
            <w:color w:val="000000"/>
          </w:rPr>
          <w:t>14</w:t>
        </w:r>
      </w:hyperlink>
      <w:r>
        <w:rPr>
          <w:noProof/>
          <w:color w:val="000000"/>
        </w:rPr>
        <w:t>]</w:t>
      </w:r>
      <w:r>
        <w:rPr>
          <w:color w:val="000000"/>
        </w:rPr>
        <w:fldChar w:fldCharType="end"/>
      </w:r>
      <w:r>
        <w:rPr>
          <w:rFonts w:hint="eastAsia"/>
          <w:color w:val="000000"/>
        </w:rPr>
        <w:t>，同时减轻炎症反应</w:t>
      </w:r>
      <w:r w:rsidRPr="00EA48A3">
        <w:rPr>
          <w:rFonts w:hint="eastAsia"/>
          <w:color w:val="000000"/>
        </w:rPr>
        <w:t>的损失程度</w:t>
      </w:r>
      <w:r>
        <w:rPr>
          <w:rFonts w:hint="eastAsia"/>
          <w:color w:val="000000"/>
        </w:rPr>
        <w:t>，进而达到对胰腺的损伤及坏死的保护作用</w:t>
      </w:r>
      <w:r>
        <w:rPr>
          <w:color w:val="000000"/>
        </w:rPr>
        <w:fldChar w:fldCharType="begin"/>
      </w:r>
      <w:r>
        <w:rPr>
          <w:color w:val="000000"/>
        </w:rPr>
        <w:instrText xml:space="preserve"> ADDIN EN.CITE &lt;EndNote&gt;&lt;Cite&gt;&lt;Author&gt;Wentong&lt;/Author&gt;&lt;Year&gt;2010&lt;/Year&gt;&lt;RecNum&gt;8&lt;/RecNum&gt;&lt;DisplayText&gt;[15]&lt;/DisplayText&gt;&lt;record&gt;&lt;rec-number&gt;8&lt;/rec-number&gt;&lt;foreign-keys&gt;&lt;key app="EN" db-id="fewtes0xoxd9pres5a1x50drpvxz0zpzavs0"&gt;8&lt;/key&gt;&lt;/foreign-keys&gt;&lt;ref-type name="Journal Article"&gt;17&lt;/ref-type&gt;&lt;contributors&gt;&lt;authors&gt;&lt;author&gt;Wentong, Fang&lt;/author&gt;&lt;author&gt;Hongjian, Li&lt;/author&gt;&lt;author&gt;Liaosheng, Zhou&lt;/author&gt;&lt;author&gt;Lequn, Su&lt;/author&gt;&lt;author&gt;Ying, Liang&lt;/author&gt;&lt;author&gt;Yan, Mu&lt;/author&gt;&lt;/authors&gt;&lt;/contributors&gt;&lt;titles&gt;&lt;title&gt;Effect of prostaglandin E1 on TNF-induced vascular inflammation in human umbilical vein endothelial cells&lt;/title&gt;&lt;secondary-title&gt;Canadian Journal of Physiology &amp;amp; Pharmacology&lt;/secondary-title&gt;&lt;/titles&gt;&lt;periodical&gt;&lt;full-title&gt;Canadian Journal of Physiology &amp;amp; Pharmacology&lt;/full-title&gt;&lt;/periodical&gt;&lt;pages&gt;576-583&lt;/pages&gt;&lt;volume&gt;88&lt;/volume&gt;&lt;number&gt;5&lt;/number&gt;&lt;dates&gt;&lt;year&gt;2010&lt;/year&gt;&lt;/dates&gt;&lt;urls&gt;&lt;/urls&gt;&lt;/record&gt;&lt;/Cite&gt;&lt;/EndNote&gt;</w:instrText>
      </w:r>
      <w:r>
        <w:rPr>
          <w:color w:val="000000"/>
        </w:rPr>
        <w:fldChar w:fldCharType="separate"/>
      </w:r>
      <w:r>
        <w:rPr>
          <w:noProof/>
          <w:color w:val="000000"/>
        </w:rPr>
        <w:t>[</w:t>
      </w:r>
      <w:hyperlink w:anchor="_ENREF_15" w:tooltip="Wentong, 2010 #8" w:history="1">
        <w:r>
          <w:rPr>
            <w:noProof/>
            <w:color w:val="000000"/>
          </w:rPr>
          <w:t>15</w:t>
        </w:r>
      </w:hyperlink>
      <w:r>
        <w:rPr>
          <w:noProof/>
          <w:color w:val="000000"/>
        </w:rPr>
        <w:t>]</w:t>
      </w:r>
      <w:r>
        <w:rPr>
          <w:color w:val="000000"/>
        </w:rPr>
        <w:fldChar w:fldCharType="end"/>
      </w:r>
      <w:r>
        <w:rPr>
          <w:rFonts w:hint="eastAsia"/>
          <w:color w:val="000000"/>
        </w:rPr>
        <w:t>。</w:t>
      </w:r>
    </w:p>
    <w:p w14:paraId="03C85582" w14:textId="77777777" w:rsidR="008505F4" w:rsidRPr="000111C2" w:rsidRDefault="008505F4" w:rsidP="008505F4">
      <w:pPr>
        <w:ind w:firstLineChars="200" w:firstLine="480"/>
        <w:rPr>
          <w:rFonts w:hint="eastAsia"/>
        </w:rPr>
      </w:pPr>
      <w:r>
        <w:rPr>
          <w:rFonts w:hint="eastAsia"/>
        </w:rPr>
        <w:t>本次研究观察与单用生长抑素相比，生长抑素联合前列地</w:t>
      </w:r>
      <w:proofErr w:type="gramStart"/>
      <w:r>
        <w:rPr>
          <w:rFonts w:hint="eastAsia"/>
        </w:rPr>
        <w:t>尔治疗</w:t>
      </w:r>
      <w:proofErr w:type="gramEnd"/>
      <w:r>
        <w:rPr>
          <w:rFonts w:hint="eastAsia"/>
        </w:rPr>
        <w:t>SAP</w:t>
      </w:r>
      <w:r>
        <w:rPr>
          <w:rFonts w:hint="eastAsia"/>
        </w:rPr>
        <w:t>患者的临床疗效。对照组与联合组在性别、年龄、血清淀粉酶水平、</w:t>
      </w:r>
      <w:r w:rsidRPr="00A60B6A">
        <w:rPr>
          <w:rFonts w:hint="eastAsia"/>
          <w:kern w:val="0"/>
          <w:szCs w:val="21"/>
        </w:rPr>
        <w:t>CTSI</w:t>
      </w:r>
      <w:r w:rsidRPr="00A60B6A">
        <w:rPr>
          <w:rFonts w:hint="eastAsia"/>
          <w:kern w:val="0"/>
          <w:szCs w:val="21"/>
        </w:rPr>
        <w:t>评分</w:t>
      </w:r>
      <w:r>
        <w:rPr>
          <w:rFonts w:hint="eastAsia"/>
          <w:kern w:val="0"/>
          <w:szCs w:val="21"/>
        </w:rPr>
        <w:t>及</w:t>
      </w:r>
      <w:r w:rsidRPr="00A60B6A">
        <w:rPr>
          <w:rFonts w:hint="eastAsia"/>
          <w:kern w:val="0"/>
          <w:szCs w:val="21"/>
        </w:rPr>
        <w:t>APACHE</w:t>
      </w:r>
      <w:r w:rsidRPr="00A60B6A">
        <w:rPr>
          <w:rFonts w:hint="eastAsia"/>
          <w:kern w:val="0"/>
          <w:szCs w:val="21"/>
        </w:rPr>
        <w:t>Ⅱ评分</w:t>
      </w:r>
      <w:r>
        <w:rPr>
          <w:rFonts w:hint="eastAsia"/>
          <w:kern w:val="0"/>
          <w:szCs w:val="21"/>
        </w:rPr>
        <w:t>等基线资料方面，差异无统计学意义（</w:t>
      </w:r>
      <w:r>
        <w:rPr>
          <w:rFonts w:hint="eastAsia"/>
          <w:kern w:val="0"/>
          <w:szCs w:val="21"/>
        </w:rPr>
        <w:t>P &gt; 0.05</w:t>
      </w:r>
      <w:r>
        <w:rPr>
          <w:rFonts w:hint="eastAsia"/>
          <w:kern w:val="0"/>
          <w:szCs w:val="21"/>
        </w:rPr>
        <w:t>，见表</w:t>
      </w:r>
      <w:r>
        <w:rPr>
          <w:rFonts w:hint="eastAsia"/>
          <w:kern w:val="0"/>
          <w:szCs w:val="21"/>
        </w:rPr>
        <w:t>1</w:t>
      </w:r>
      <w:r>
        <w:rPr>
          <w:rFonts w:hint="eastAsia"/>
          <w:kern w:val="0"/>
          <w:szCs w:val="21"/>
        </w:rPr>
        <w:t>）。与对照组相比，</w:t>
      </w:r>
      <w:r>
        <w:rPr>
          <w:rFonts w:hint="eastAsia"/>
        </w:rPr>
        <w:t>联合组患者在体征消失以及平均住院时间方面，均明显短于对照组</w:t>
      </w:r>
      <w:r>
        <w:rPr>
          <w:rFonts w:hint="eastAsia"/>
        </w:rPr>
        <w:t xml:space="preserve"> (</w:t>
      </w:r>
      <w:r>
        <w:rPr>
          <w:rFonts w:hint="eastAsia"/>
          <w:i/>
          <w:iCs/>
        </w:rPr>
        <w:t>P</w:t>
      </w:r>
      <w:r>
        <w:rPr>
          <w:rFonts w:hint="eastAsia"/>
        </w:rPr>
        <w:t>&lt;0.05</w:t>
      </w:r>
      <w:r>
        <w:rPr>
          <w:rFonts w:hint="eastAsia"/>
        </w:rPr>
        <w:t>，表</w:t>
      </w:r>
      <w:r>
        <w:rPr>
          <w:rFonts w:hint="eastAsia"/>
        </w:rPr>
        <w:t>2)</w:t>
      </w:r>
      <w:r>
        <w:rPr>
          <w:rFonts w:hint="eastAsia"/>
        </w:rPr>
        <w:t>。学者</w:t>
      </w:r>
      <w:r w:rsidRPr="000111C2">
        <w:t>Takahashi H</w:t>
      </w:r>
      <w:r>
        <w:t xml:space="preserve"> </w:t>
      </w:r>
      <w:r>
        <w:fldChar w:fldCharType="begin"/>
      </w:r>
      <w:r>
        <w:instrText xml:space="preserve"> ADDIN EN.CITE &lt;EndNote&gt;&lt;Cite&gt;&lt;Author&gt;Takahashi&lt;/Author&gt;&lt;Year&gt;1999&lt;/Year&gt;&lt;RecNum&gt;20&lt;/RecNum&gt;&lt;DisplayText&gt;[16]&lt;/DisplayText&gt;&lt;record&gt;&lt;rec-number&gt;20&lt;/rec-number&gt;&lt;foreign-keys&gt;&lt;key app="EN" db-id="fewtes0xoxd9pres5a1x50drpvxz0zpzavs0"&gt;20&lt;/key&gt;&lt;/foreign-keys&gt;&lt;ref-type name="Journal Article"&gt;17&lt;/ref-type&gt;&lt;contributors&gt;&lt;authors&gt;&lt;author&gt;Takahashi, H&lt;/author&gt;&lt;author&gt;Imamura, Mmikami, Y&lt;/author&gt;&lt;author&gt;Yamauchi, H&lt;/author&gt;&lt;/authors&gt;&lt;/contributors&gt;&lt;titles&gt;&lt;title&gt;Exacerbation of acute pancreatitis in the presence of chronic liver injury in rats, with special reference to therapeutic efficacy of prostaglandin E1&lt;/title&gt;&lt;secondary-title&gt;Pancreas&lt;/secondary-title&gt;&lt;/titles&gt;&lt;periodical&gt;&lt;full-title&gt;Pancreas&lt;/full-title&gt;&lt;abbr-1&gt;Pancreas&lt;/abbr-1&gt;&lt;/periodical&gt;&lt;pages&gt;199-204&lt;/pages&gt;&lt;volume&gt;19&lt;/volume&gt;&lt;number&gt;2&lt;/number&gt;&lt;dates&gt;&lt;year&gt;1999&lt;/year&gt;&lt;/dates&gt;&lt;urls&gt;&lt;/urls&gt;&lt;/record&gt;&lt;/Cite&gt;&lt;/EndNote&gt;</w:instrText>
      </w:r>
      <w:r>
        <w:fldChar w:fldCharType="separate"/>
      </w:r>
      <w:r>
        <w:rPr>
          <w:noProof/>
        </w:rPr>
        <w:t>[</w:t>
      </w:r>
      <w:hyperlink w:anchor="_ENREF_16" w:tooltip="Takahashi, 1999 #20" w:history="1">
        <w:r>
          <w:rPr>
            <w:noProof/>
          </w:rPr>
          <w:t>16</w:t>
        </w:r>
      </w:hyperlink>
      <w:r>
        <w:rPr>
          <w:noProof/>
        </w:rPr>
        <w:t>]</w:t>
      </w:r>
      <w:r>
        <w:fldChar w:fldCharType="end"/>
      </w:r>
      <w:r>
        <w:rPr>
          <w:rFonts w:hint="eastAsia"/>
        </w:rPr>
        <w:t>等的研究指出，前列地尔和生长抑素可以起到互补的作用，通过抑制体内血小板聚集，同时降低血小板活性以及血黏度，进而促进胰腺的微循环障碍，进而减轻患者炎症反应，在胰腺局部及全身炎症的消退过程中起重要作用。这可能是导致联合组患者在局部体征消失及平均住院时间更短的原因之一。</w:t>
      </w:r>
      <w:r>
        <w:rPr>
          <w:rFonts w:hint="eastAsia"/>
        </w:rPr>
        <w:t xml:space="preserve"> </w:t>
      </w:r>
      <w:r>
        <w:rPr>
          <w:rFonts w:hint="eastAsia"/>
          <w:kern w:val="0"/>
          <w:szCs w:val="21"/>
        </w:rPr>
        <w:t>另外，</w:t>
      </w:r>
      <w:r w:rsidRPr="003D6D20">
        <w:rPr>
          <w:rFonts w:hint="eastAsia"/>
          <w:kern w:val="0"/>
          <w:szCs w:val="21"/>
        </w:rPr>
        <w:t>从治疗开始第</w:t>
      </w:r>
      <w:r w:rsidRPr="003D6D20">
        <w:rPr>
          <w:rFonts w:hint="eastAsia"/>
          <w:kern w:val="0"/>
          <w:szCs w:val="21"/>
        </w:rPr>
        <w:t>3</w:t>
      </w:r>
      <w:r w:rsidRPr="003D6D20">
        <w:rPr>
          <w:rFonts w:hint="eastAsia"/>
          <w:kern w:val="0"/>
          <w:szCs w:val="21"/>
        </w:rPr>
        <w:t>天起</w:t>
      </w:r>
      <w:r>
        <w:rPr>
          <w:rFonts w:hint="eastAsia"/>
          <w:kern w:val="0"/>
          <w:szCs w:val="21"/>
        </w:rPr>
        <w:t>至第</w:t>
      </w:r>
      <w:r>
        <w:rPr>
          <w:rFonts w:hint="eastAsia"/>
          <w:kern w:val="0"/>
          <w:szCs w:val="21"/>
        </w:rPr>
        <w:t>7</w:t>
      </w:r>
      <w:r>
        <w:rPr>
          <w:rFonts w:hint="eastAsia"/>
          <w:kern w:val="0"/>
          <w:szCs w:val="21"/>
        </w:rPr>
        <w:t>天治疗周期结束</w:t>
      </w:r>
      <w:r w:rsidRPr="003D6D20">
        <w:rPr>
          <w:rFonts w:hint="eastAsia"/>
          <w:kern w:val="0"/>
          <w:szCs w:val="21"/>
        </w:rPr>
        <w:t>，</w:t>
      </w:r>
      <w:r>
        <w:rPr>
          <w:rFonts w:hint="eastAsia"/>
          <w:kern w:val="0"/>
          <w:szCs w:val="21"/>
        </w:rPr>
        <w:t>联合</w:t>
      </w:r>
      <w:r>
        <w:rPr>
          <w:rFonts w:hint="eastAsia"/>
          <w:kern w:val="0"/>
          <w:szCs w:val="21"/>
        </w:rPr>
        <w:lastRenderedPageBreak/>
        <w:t>组</w:t>
      </w:r>
      <w:r w:rsidRPr="003D6D20">
        <w:rPr>
          <w:rFonts w:hint="eastAsia"/>
          <w:kern w:val="0"/>
          <w:szCs w:val="21"/>
        </w:rPr>
        <w:t>血清淀粉酶明显低于对照组（</w:t>
      </w:r>
      <w:r w:rsidRPr="003D6D20">
        <w:rPr>
          <w:rFonts w:hint="eastAsia"/>
          <w:kern w:val="0"/>
          <w:szCs w:val="21"/>
        </w:rPr>
        <w:t>P&lt;0.05</w:t>
      </w:r>
      <w:r w:rsidRPr="003D6D20">
        <w:rPr>
          <w:rFonts w:hint="eastAsia"/>
          <w:kern w:val="0"/>
          <w:szCs w:val="21"/>
        </w:rPr>
        <w:t>）。</w:t>
      </w:r>
      <w:r>
        <w:rPr>
          <w:rFonts w:hint="eastAsia"/>
          <w:kern w:val="0"/>
          <w:szCs w:val="21"/>
        </w:rPr>
        <w:t>然而我们知道，</w:t>
      </w:r>
      <w:r>
        <w:rPr>
          <w:rFonts w:hint="eastAsia"/>
          <w:kern w:val="0"/>
          <w:szCs w:val="21"/>
        </w:rPr>
        <w:t>SAP</w:t>
      </w:r>
      <w:r>
        <w:rPr>
          <w:rFonts w:hint="eastAsia"/>
          <w:kern w:val="0"/>
          <w:szCs w:val="21"/>
        </w:rPr>
        <w:t>起病后胰腺微循环障碍逐渐加重，</w:t>
      </w:r>
      <w:r w:rsidRPr="00E7481E">
        <w:rPr>
          <w:rFonts w:hint="eastAsia"/>
          <w:kern w:val="0"/>
          <w:szCs w:val="21"/>
        </w:rPr>
        <w:t>在</w:t>
      </w:r>
      <w:r w:rsidRPr="00E7481E">
        <w:rPr>
          <w:rFonts w:hint="eastAsia"/>
          <w:kern w:val="0"/>
          <w:szCs w:val="21"/>
        </w:rPr>
        <w:t>72 h</w:t>
      </w:r>
      <w:r w:rsidRPr="00E7481E">
        <w:rPr>
          <w:rFonts w:hint="eastAsia"/>
          <w:kern w:val="0"/>
          <w:szCs w:val="21"/>
        </w:rPr>
        <w:t>时达到峰值</w:t>
      </w:r>
      <w:r>
        <w:rPr>
          <w:kern w:val="0"/>
          <w:szCs w:val="21"/>
        </w:rPr>
        <w:fldChar w:fldCharType="begin"/>
      </w:r>
      <w:r>
        <w:rPr>
          <w:kern w:val="0"/>
          <w:szCs w:val="21"/>
        </w:rPr>
        <w:instrText xml:space="preserve"> ADDIN EN.CITE &lt;EndNote&gt;&lt;Cite&gt;&lt;Author&gt;Vozzi&lt;/Author&gt;&lt;Year&gt;2014&lt;/Year&gt;&lt;RecNum&gt;22&lt;/RecNum&gt;&lt;DisplayText&gt;[17]&lt;/DisplayText&gt;&lt;record&gt;&lt;rec-number&gt;22&lt;/rec-number&gt;&lt;foreign-keys&gt;&lt;key app="EN" db-id="fewtes0xoxd9pres5a1x50drpvxz0zpzavs0"&gt;22&lt;/key&gt;&lt;/foreign-keys&gt;&lt;ref-type name="Journal Article"&gt;17&lt;/ref-type&gt;&lt;contributors&gt;&lt;authors&gt;&lt;author&gt;Vozzi, Federico&lt;/author&gt;&lt;author&gt;Bianchi, Francesca&lt;/author&gt;&lt;author&gt;Ahluwalia, Arti&lt;/author&gt;&lt;author&gt;Domenici, Claudio&lt;/author&gt;&lt;/authors&gt;&lt;/contributors&gt;&lt;titles&gt;&lt;title&gt;Hydrostatic pressure and shear stress affect endothelin-1 and nitric oxide release by endothelial cells in bioreactors&lt;/title&gt;&lt;secondary-title&gt;Biotechnology Journal&lt;/secondary-title&gt;&lt;/titles&gt;&lt;periodical&gt;&lt;full-title&gt;Biotechnology Journal&lt;/full-title&gt;&lt;/periodical&gt;&lt;pages&gt;146–154&lt;/pages&gt;&lt;volume&gt;9&lt;/volume&gt;&lt;number&gt;1&lt;/number&gt;&lt;dates&gt;&lt;year&gt;2014&lt;/year&gt;&lt;/dates&gt;&lt;urls&gt;&lt;/urls&gt;&lt;/record&gt;&lt;/Cite&gt;&lt;/EndNote&gt;</w:instrText>
      </w:r>
      <w:r>
        <w:rPr>
          <w:kern w:val="0"/>
          <w:szCs w:val="21"/>
        </w:rPr>
        <w:fldChar w:fldCharType="separate"/>
      </w:r>
      <w:r>
        <w:rPr>
          <w:noProof/>
          <w:kern w:val="0"/>
          <w:szCs w:val="21"/>
        </w:rPr>
        <w:t>[</w:t>
      </w:r>
      <w:hyperlink w:anchor="_ENREF_17" w:tooltip="Vozzi, 2014 #22" w:history="1">
        <w:r>
          <w:rPr>
            <w:noProof/>
            <w:kern w:val="0"/>
            <w:szCs w:val="21"/>
          </w:rPr>
          <w:t>17</w:t>
        </w:r>
      </w:hyperlink>
      <w:r>
        <w:rPr>
          <w:noProof/>
          <w:kern w:val="0"/>
          <w:szCs w:val="21"/>
        </w:rPr>
        <w:t>]</w:t>
      </w:r>
      <w:r>
        <w:rPr>
          <w:kern w:val="0"/>
          <w:szCs w:val="21"/>
        </w:rPr>
        <w:fldChar w:fldCharType="end"/>
      </w:r>
      <w:r>
        <w:rPr>
          <w:rFonts w:hint="eastAsia"/>
          <w:kern w:val="0"/>
          <w:szCs w:val="21"/>
        </w:rPr>
        <w:t>。在本次研究中，联合组的血清淀粉酶水平从治疗第</w:t>
      </w:r>
      <w:r>
        <w:rPr>
          <w:rFonts w:hint="eastAsia"/>
          <w:kern w:val="0"/>
          <w:szCs w:val="21"/>
        </w:rPr>
        <w:t>3</w:t>
      </w:r>
      <w:r>
        <w:rPr>
          <w:rFonts w:hint="eastAsia"/>
          <w:kern w:val="0"/>
          <w:szCs w:val="21"/>
        </w:rPr>
        <w:t>天起，其下降幅度显著快于对照组（表</w:t>
      </w:r>
      <w:r>
        <w:rPr>
          <w:rFonts w:hint="eastAsia"/>
          <w:kern w:val="0"/>
          <w:szCs w:val="21"/>
        </w:rPr>
        <w:t>3</w:t>
      </w:r>
      <w:r>
        <w:rPr>
          <w:rFonts w:hint="eastAsia"/>
          <w:kern w:val="0"/>
          <w:szCs w:val="21"/>
        </w:rPr>
        <w:t>），一定程度上也反应出前列地尔可能通过改善微循环</w:t>
      </w:r>
      <w:r w:rsidRPr="00AA5A52">
        <w:rPr>
          <w:rFonts w:hint="eastAsia"/>
          <w:kern w:val="0"/>
          <w:szCs w:val="21"/>
        </w:rPr>
        <w:t xml:space="preserve">, </w:t>
      </w:r>
      <w:r w:rsidRPr="00AA5A52">
        <w:rPr>
          <w:rFonts w:hint="eastAsia"/>
          <w:kern w:val="0"/>
          <w:szCs w:val="21"/>
        </w:rPr>
        <w:t>改善</w:t>
      </w:r>
      <w:r w:rsidRPr="00AA5A52">
        <w:rPr>
          <w:rFonts w:hint="eastAsia"/>
          <w:kern w:val="0"/>
          <w:szCs w:val="21"/>
        </w:rPr>
        <w:t>SAP</w:t>
      </w:r>
      <w:r>
        <w:rPr>
          <w:rFonts w:hint="eastAsia"/>
          <w:kern w:val="0"/>
          <w:szCs w:val="21"/>
        </w:rPr>
        <w:t>炎症反应。这一结果与吴钢等</w:t>
      </w:r>
      <w:r>
        <w:rPr>
          <w:kern w:val="0"/>
          <w:szCs w:val="21"/>
        </w:rPr>
        <w:fldChar w:fldCharType="begin"/>
      </w:r>
      <w:r>
        <w:rPr>
          <w:rFonts w:hint="eastAsia"/>
          <w:kern w:val="0"/>
          <w:szCs w:val="21"/>
        </w:rPr>
        <w:instrText xml:space="preserve"> ADDIN EN.CITE &lt;EndNote&gt;&lt;Cite&gt;&lt;Author&gt;</w:instrText>
      </w:r>
      <w:r>
        <w:rPr>
          <w:rFonts w:hint="eastAsia"/>
          <w:kern w:val="0"/>
          <w:szCs w:val="21"/>
        </w:rPr>
        <w:instrText>吴钢</w:instrText>
      </w:r>
      <w:r>
        <w:rPr>
          <w:rFonts w:hint="eastAsia"/>
          <w:kern w:val="0"/>
          <w:szCs w:val="21"/>
        </w:rPr>
        <w:instrText>&lt;/Author&gt;&lt;Year&gt;2015&lt;/Year&gt;&lt;RecNum&gt;23&lt;/RecNum&gt;&lt;DisplayText&gt;[18]&lt;/DisplayText&gt;&lt;record&gt;&lt;rec-number&gt;23&lt;/rec-number&gt;&lt;foreign-keys&gt;&lt;key app="EN" db-id="fewtes0xoxd9pres5a1x50drpvxz0zpzavs0"&gt;23&lt;/key&gt;&lt;/foreign-keys&gt;&lt;ref-type name="Journal Article"&gt;17&lt;/ref-type&gt;&lt;contributors&gt;&lt;authors&gt;&lt;author&gt;</w:instrText>
      </w:r>
      <w:r>
        <w:rPr>
          <w:rFonts w:hint="eastAsia"/>
          <w:kern w:val="0"/>
          <w:szCs w:val="21"/>
        </w:rPr>
        <w:instrText>吴钢</w:instrText>
      </w:r>
      <w:r>
        <w:rPr>
          <w:rFonts w:hint="eastAsia"/>
          <w:kern w:val="0"/>
          <w:szCs w:val="21"/>
        </w:rPr>
        <w:instrText>&lt;/author&gt;&lt;author&gt;</w:instrText>
      </w:r>
      <w:r>
        <w:rPr>
          <w:rFonts w:hint="eastAsia"/>
          <w:kern w:val="0"/>
          <w:szCs w:val="21"/>
        </w:rPr>
        <w:instrText>姜琦</w:instrText>
      </w:r>
      <w:r>
        <w:rPr>
          <w:rFonts w:hint="eastAsia"/>
          <w:kern w:val="0"/>
          <w:szCs w:val="21"/>
        </w:rPr>
        <w:instrText>&lt;/author&gt;&lt;author&gt;</w:instrText>
      </w:r>
      <w:r>
        <w:rPr>
          <w:rFonts w:hint="eastAsia"/>
          <w:kern w:val="0"/>
          <w:szCs w:val="21"/>
        </w:rPr>
        <w:instrText>赵昌杰</w:instrText>
      </w:r>
      <w:r>
        <w:rPr>
          <w:rFonts w:hint="eastAsia"/>
          <w:kern w:val="0"/>
          <w:szCs w:val="21"/>
        </w:rPr>
        <w:instrText>&lt;/author&gt;&lt;author&gt;</w:instrText>
      </w:r>
      <w:r>
        <w:rPr>
          <w:rFonts w:hint="eastAsia"/>
          <w:kern w:val="0"/>
          <w:szCs w:val="21"/>
        </w:rPr>
        <w:instrText>童诚</w:instrText>
      </w:r>
      <w:r>
        <w:rPr>
          <w:rFonts w:hint="eastAsia"/>
          <w:kern w:val="0"/>
          <w:szCs w:val="21"/>
        </w:rPr>
        <w:instrText>&lt;/author&gt;&lt;/authors&gt;&lt;/contributors&gt;&lt;titles&gt;&lt;title&gt;</w:instrText>
      </w:r>
      <w:r>
        <w:rPr>
          <w:rFonts w:hint="eastAsia"/>
          <w:kern w:val="0"/>
          <w:szCs w:val="21"/>
        </w:rPr>
        <w:instrText>重症急性胰腺炎患者血浆内皮素</w:instrText>
      </w:r>
      <w:r>
        <w:rPr>
          <w:rFonts w:hint="eastAsia"/>
          <w:kern w:val="0"/>
          <w:szCs w:val="21"/>
        </w:rPr>
        <w:instrText>-1</w:instrText>
      </w:r>
      <w:r>
        <w:rPr>
          <w:rFonts w:hint="eastAsia"/>
          <w:kern w:val="0"/>
          <w:szCs w:val="21"/>
        </w:rPr>
        <w:instrText>、一氧化氮的动态变化及前列地尔的干预作用</w:instrText>
      </w:r>
      <w:r>
        <w:rPr>
          <w:rFonts w:hint="eastAsia"/>
          <w:kern w:val="0"/>
          <w:szCs w:val="21"/>
        </w:rPr>
        <w:instrText>&lt;/title&gt;&lt;secondary-title&gt;</w:instrText>
      </w:r>
      <w:r>
        <w:rPr>
          <w:rFonts w:hint="eastAsia"/>
          <w:kern w:val="0"/>
          <w:szCs w:val="21"/>
        </w:rPr>
        <w:instrText>世界华人消化杂志</w:instrText>
      </w:r>
      <w:r>
        <w:rPr>
          <w:rFonts w:hint="eastAsia"/>
          <w:kern w:val="0"/>
          <w:szCs w:val="21"/>
        </w:rPr>
        <w:instrText>&lt;/secondary-title&gt;&lt;/titles&gt;&lt;periodical&gt;&lt;full-title&gt;</w:instrText>
      </w:r>
      <w:r>
        <w:rPr>
          <w:rFonts w:hint="eastAsia"/>
          <w:kern w:val="0"/>
          <w:szCs w:val="21"/>
        </w:rPr>
        <w:instrText>世界华人消化杂志</w:instrText>
      </w:r>
      <w:r>
        <w:rPr>
          <w:rFonts w:hint="eastAsia"/>
          <w:kern w:val="0"/>
          <w:szCs w:val="21"/>
        </w:rPr>
        <w:instrText>&lt;/full-title&gt;&lt;/periodical&gt;&lt;pages&gt;142-146&lt;/pages&gt;&lt;number&gt;1&lt;/number&gt;&lt;dates&gt;&lt;year&gt;2015&lt;/year&gt;&lt;/dates&gt;&lt;urls&gt;&lt;/urls&gt;&lt;/record&gt;&lt;/Cite&gt;&lt;/EndNote&gt;</w:instrText>
      </w:r>
      <w:r>
        <w:rPr>
          <w:kern w:val="0"/>
          <w:szCs w:val="21"/>
        </w:rPr>
        <w:fldChar w:fldCharType="separate"/>
      </w:r>
      <w:r>
        <w:rPr>
          <w:noProof/>
          <w:kern w:val="0"/>
          <w:szCs w:val="21"/>
        </w:rPr>
        <w:t>[</w:t>
      </w:r>
      <w:hyperlink w:anchor="_ENREF_18" w:tooltip="吴钢, 2015 #23" w:history="1">
        <w:r>
          <w:rPr>
            <w:noProof/>
            <w:kern w:val="0"/>
            <w:szCs w:val="21"/>
          </w:rPr>
          <w:t>18</w:t>
        </w:r>
      </w:hyperlink>
      <w:r>
        <w:rPr>
          <w:noProof/>
          <w:kern w:val="0"/>
          <w:szCs w:val="21"/>
        </w:rPr>
        <w:t>]</w:t>
      </w:r>
      <w:r>
        <w:rPr>
          <w:kern w:val="0"/>
          <w:szCs w:val="21"/>
        </w:rPr>
        <w:fldChar w:fldCharType="end"/>
      </w:r>
      <w:r w:rsidRPr="00AC175D">
        <w:rPr>
          <w:rFonts w:hint="eastAsia"/>
          <w:kern w:val="0"/>
          <w:szCs w:val="21"/>
        </w:rPr>
        <w:t xml:space="preserve"> </w:t>
      </w:r>
      <w:r>
        <w:rPr>
          <w:rFonts w:hint="eastAsia"/>
          <w:kern w:val="0"/>
          <w:szCs w:val="21"/>
        </w:rPr>
        <w:t>的研究一致。</w:t>
      </w:r>
      <w:r>
        <w:rPr>
          <w:rFonts w:hint="eastAsia"/>
        </w:rPr>
        <w:t>如表</w:t>
      </w:r>
      <w:r>
        <w:rPr>
          <w:rFonts w:hint="eastAsia"/>
        </w:rPr>
        <w:t>4</w:t>
      </w:r>
      <w:r>
        <w:rPr>
          <w:rFonts w:hint="eastAsia"/>
        </w:rPr>
        <w:t>所示，虽然死亡率在两组患者间差异无统计学意义</w:t>
      </w:r>
      <w:r>
        <w:rPr>
          <w:rFonts w:hint="eastAsia"/>
        </w:rPr>
        <w:t>(</w:t>
      </w:r>
      <w:r>
        <w:rPr>
          <w:rFonts w:hint="eastAsia"/>
          <w:i/>
          <w:iCs/>
        </w:rPr>
        <w:t>P</w:t>
      </w:r>
      <w:r>
        <w:rPr>
          <w:rFonts w:hint="eastAsia"/>
        </w:rPr>
        <w:t>&gt;0.05)</w:t>
      </w:r>
      <w:r>
        <w:rPr>
          <w:rFonts w:hint="eastAsia"/>
        </w:rPr>
        <w:t>，联合组并发症及中转手术率更低</w:t>
      </w:r>
      <w:r>
        <w:rPr>
          <w:rFonts w:hint="eastAsia"/>
        </w:rPr>
        <w:t>(</w:t>
      </w:r>
      <w:r>
        <w:rPr>
          <w:rFonts w:hint="eastAsia"/>
          <w:i/>
          <w:iCs/>
        </w:rPr>
        <w:t>P</w:t>
      </w:r>
      <w:r>
        <w:rPr>
          <w:rFonts w:hint="eastAsia"/>
        </w:rPr>
        <w:t>&lt;0.05)</w:t>
      </w:r>
      <w:r>
        <w:rPr>
          <w:rFonts w:hint="eastAsia"/>
        </w:rPr>
        <w:t>。这提示前列地尔不仅在</w:t>
      </w:r>
      <w:r>
        <w:rPr>
          <w:rFonts w:hint="eastAsia"/>
        </w:rPr>
        <w:t>SAP</w:t>
      </w:r>
      <w:r>
        <w:rPr>
          <w:rFonts w:hint="eastAsia"/>
        </w:rPr>
        <w:t>早期可改善微循环，同时可能在</w:t>
      </w:r>
      <w:r>
        <w:rPr>
          <w:rFonts w:hint="eastAsia"/>
        </w:rPr>
        <w:t>SAP</w:t>
      </w:r>
      <w:r>
        <w:rPr>
          <w:rFonts w:hint="eastAsia"/>
        </w:rPr>
        <w:t>的进展过程中发挥抑制炎症反应，进一步减轻胰腺损伤，促进受损胰腺恢复，通过膜保护等机制达到降低</w:t>
      </w:r>
      <w:r>
        <w:rPr>
          <w:rFonts w:hint="eastAsia"/>
        </w:rPr>
        <w:t>SAP</w:t>
      </w:r>
      <w:r>
        <w:rPr>
          <w:rFonts w:hint="eastAsia"/>
        </w:rPr>
        <w:t>并发症的目的</w:t>
      </w:r>
      <w:r>
        <w:fldChar w:fldCharType="begin">
          <w:fldData xml:space="preserve">PEVuZE5vdGU+PENpdGU+PEF1dGhvcj5QaXJpPC9BdXRob3I+PFllYXI+MjAwMjwvWWVhcj48UmVj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</w:fldData>
        </w:fldChar>
      </w:r>
      <w:r>
        <w:instrText xml:space="preserve"> ADDIN EN.CITE </w:instrText>
      </w:r>
      <w:r>
        <w:fldChar w:fldCharType="begin">
          <w:fldData xml:space="preserve">PEVuZE5vdGU+PENpdGU+PEF1dGhvcj5QaXJpPC9BdXRob3I+PFllYXI+MjAwMjwvWWVhcj48UmVj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</w:fldData>
        </w:fldChar>
      </w:r>
      <w:r>
        <w:instrText xml:space="preserve"> ADDIN EN.CITE.DATA </w:instrText>
      </w:r>
      <w:r>
        <w:fldChar w:fldCharType="end"/>
      </w:r>
      <w:r>
        <w:fldChar w:fldCharType="separate"/>
      </w:r>
      <w:r>
        <w:rPr>
          <w:noProof/>
        </w:rPr>
        <w:t>[</w:t>
      </w:r>
      <w:hyperlink w:anchor="_ENREF_14" w:tooltip="Piri, 2002 #9" w:history="1">
        <w:r>
          <w:rPr>
            <w:noProof/>
          </w:rPr>
          <w:t>14</w:t>
        </w:r>
      </w:hyperlink>
      <w:r>
        <w:rPr>
          <w:noProof/>
        </w:rPr>
        <w:t>]</w:t>
      </w:r>
      <w:r>
        <w:fldChar w:fldCharType="end"/>
      </w:r>
      <w:r>
        <w:rPr>
          <w:rFonts w:hint="eastAsia"/>
        </w:rPr>
        <w:t>。值得指出的是，两组患者的死亡率差异无统计学意义（</w:t>
      </w:r>
      <w:r>
        <w:rPr>
          <w:rFonts w:hint="eastAsia"/>
        </w:rPr>
        <w:t>P&gt;0.05</w:t>
      </w:r>
      <w:r>
        <w:rPr>
          <w:rFonts w:hint="eastAsia"/>
        </w:rPr>
        <w:t>），所有</w:t>
      </w:r>
      <w:r>
        <w:rPr>
          <w:rFonts w:hint="eastAsia"/>
        </w:rPr>
        <w:t>3</w:t>
      </w:r>
      <w:r>
        <w:rPr>
          <w:rFonts w:hint="eastAsia"/>
        </w:rPr>
        <w:t>例死亡患者均死于</w:t>
      </w:r>
      <w:r>
        <w:rPr>
          <w:rFonts w:hint="eastAsia"/>
        </w:rPr>
        <w:t>SAP</w:t>
      </w:r>
      <w:r>
        <w:rPr>
          <w:rFonts w:hint="eastAsia"/>
        </w:rPr>
        <w:t>胰腺坏死感染后多器官功能衰竭。</w:t>
      </w:r>
      <w:r>
        <w:rPr>
          <w:rFonts w:hint="eastAsia"/>
        </w:rPr>
        <w:t>SAP</w:t>
      </w:r>
      <w:r>
        <w:rPr>
          <w:rFonts w:hint="eastAsia"/>
        </w:rPr>
        <w:t>的病情危重，胰腺坏死组织合并感染后，死亡率更高，在本次研究中，</w:t>
      </w:r>
      <w:r>
        <w:rPr>
          <w:rFonts w:hint="eastAsia"/>
        </w:rPr>
        <w:t>SAP</w:t>
      </w:r>
      <w:r>
        <w:rPr>
          <w:rFonts w:hint="eastAsia"/>
        </w:rPr>
        <w:t>胰腺坏死伴感染的</w:t>
      </w:r>
      <w:r>
        <w:rPr>
          <w:rFonts w:hint="eastAsia"/>
        </w:rPr>
        <w:t>3</w:t>
      </w:r>
      <w:r>
        <w:rPr>
          <w:rFonts w:hint="eastAsia"/>
        </w:rPr>
        <w:t>例患者</w:t>
      </w:r>
      <w:proofErr w:type="gramStart"/>
      <w:r>
        <w:rPr>
          <w:rFonts w:hint="eastAsia"/>
        </w:rPr>
        <w:t>均最终</w:t>
      </w:r>
      <w:proofErr w:type="gramEnd"/>
      <w:r>
        <w:rPr>
          <w:rFonts w:hint="eastAsia"/>
        </w:rPr>
        <w:t>死亡。</w:t>
      </w:r>
    </w:p>
    <w:p w14:paraId="37851F37" w14:textId="77777777" w:rsidR="008505F4" w:rsidRDefault="008505F4" w:rsidP="008505F4">
      <w:pPr>
        <w:ind w:firstLineChars="200" w:firstLine="480"/>
      </w:pPr>
      <w:r>
        <w:rPr>
          <w:rFonts w:hint="eastAsia"/>
        </w:rPr>
        <w:t>综上所述，</w:t>
      </w:r>
      <w:bookmarkStart w:id="14" w:name="OLE_LINK23"/>
      <w:r>
        <w:rPr>
          <w:rFonts w:hint="eastAsia"/>
        </w:rPr>
        <w:t>生长抑素联合前列地</w:t>
      </w:r>
      <w:proofErr w:type="gramStart"/>
      <w:r>
        <w:rPr>
          <w:rFonts w:hint="eastAsia"/>
        </w:rPr>
        <w:t>尔治疗</w:t>
      </w:r>
      <w:proofErr w:type="gramEnd"/>
      <w:r>
        <w:rPr>
          <w:rFonts w:hint="eastAsia"/>
        </w:rPr>
        <w:t>SAP</w:t>
      </w:r>
      <w:r>
        <w:rPr>
          <w:rFonts w:hint="eastAsia"/>
        </w:rPr>
        <w:t>患者平均住院时间更短，同时</w:t>
      </w:r>
      <w:r>
        <w:rPr>
          <w:rFonts w:hint="eastAsia"/>
        </w:rPr>
        <w:t>SAP</w:t>
      </w:r>
      <w:r>
        <w:rPr>
          <w:rFonts w:hint="eastAsia"/>
        </w:rPr>
        <w:t>并发症和手术中转率更低，联合治疗可能比单用生长抑素临床疗效更好，值得临床应用推广。</w:t>
      </w:r>
      <w:bookmarkEnd w:id="14"/>
    </w:p>
    <w:p w14:paraId="090B434C" w14:textId="77777777" w:rsidR="008505F4" w:rsidRDefault="008505F4" w:rsidP="008505F4">
      <w:pPr>
        <w:ind w:firstLineChars="200" w:firstLine="480"/>
      </w:pPr>
      <w:r>
        <w:br w:type="page"/>
      </w:r>
    </w:p>
    <w:p w14:paraId="10216493" w14:textId="77777777" w:rsidR="008505F4" w:rsidRDefault="008505F4" w:rsidP="008505F4">
      <w:pPr>
        <w:ind w:firstLineChars="200" w:firstLine="480"/>
      </w:pPr>
      <w:r>
        <w:lastRenderedPageBreak/>
        <w:t>参考文献</w:t>
      </w:r>
    </w:p>
    <w:p w14:paraId="6C1C0416" w14:textId="77777777" w:rsidR="008505F4" w:rsidRPr="0057147C" w:rsidRDefault="008505F4" w:rsidP="008505F4">
      <w:pPr>
        <w:pStyle w:val="EndNoteBibliography"/>
      </w:pPr>
      <w:r>
        <w:fldChar w:fldCharType="begin"/>
      </w:r>
      <w:r>
        <w:instrText xml:space="preserve"> ADDIN EN.REFLIST </w:instrText>
      </w:r>
      <w:r>
        <w:fldChar w:fldCharType="separate"/>
      </w:r>
      <w:bookmarkStart w:id="15" w:name="_ENREF_1"/>
      <w:r w:rsidRPr="0057147C">
        <w:t>1.</w:t>
      </w:r>
      <w:r w:rsidRPr="0057147C">
        <w:tab/>
        <w:t>Yadav D, Lowenfels AB. Trends in the epidemiology of the first attack of acute pancreatitis: a systematic review. Pancreas 2006; 33: 323-330.</w:t>
      </w:r>
      <w:bookmarkEnd w:id="15"/>
    </w:p>
    <w:p w14:paraId="09D5B209" w14:textId="77777777" w:rsidR="008505F4" w:rsidRPr="0057147C" w:rsidRDefault="008505F4" w:rsidP="008505F4">
      <w:pPr>
        <w:pStyle w:val="EndNoteBibliography"/>
      </w:pPr>
      <w:bookmarkStart w:id="16" w:name="_ENREF_2"/>
      <w:r w:rsidRPr="0057147C">
        <w:t>2.</w:t>
      </w:r>
      <w:r w:rsidRPr="0057147C">
        <w:tab/>
        <w:t>Isaji S, Takada T, Mayumi T et al. Revised Japanese guidelines for the management of acute pancreatitis 2015: revised concepts and updated points. Journal of hepato-biliary-pancreatic sciences 2015; 22: 433-445.</w:t>
      </w:r>
      <w:bookmarkEnd w:id="16"/>
    </w:p>
    <w:p w14:paraId="661BC847" w14:textId="77777777" w:rsidR="008505F4" w:rsidRPr="0057147C" w:rsidRDefault="008505F4" w:rsidP="008505F4">
      <w:pPr>
        <w:pStyle w:val="EndNoteBibliography"/>
      </w:pPr>
      <w:bookmarkStart w:id="17" w:name="_ENREF_3"/>
      <w:r w:rsidRPr="0057147C">
        <w:t>3.</w:t>
      </w:r>
      <w:r w:rsidRPr="0057147C">
        <w:tab/>
        <w:t>Zhang XP, Li ZJ, Jie Z. Inflammatory mediators and microcirculatory disturbance in acute pancreatitis. Hepatobiliary &amp; Pancreatic Diseases International Hbpd Int 2009; 8: 351-357.</w:t>
      </w:r>
      <w:bookmarkEnd w:id="17"/>
    </w:p>
    <w:p w14:paraId="52DF30CC" w14:textId="77777777" w:rsidR="008505F4" w:rsidRPr="0057147C" w:rsidRDefault="008505F4" w:rsidP="008505F4">
      <w:pPr>
        <w:pStyle w:val="EndNoteBibliography"/>
      </w:pPr>
      <w:bookmarkStart w:id="18" w:name="_ENREF_4"/>
      <w:r w:rsidRPr="0057147C">
        <w:t>4.</w:t>
      </w:r>
      <w:r w:rsidRPr="0057147C">
        <w:tab/>
        <w:t>Schneider L, Pietschmann M, Hartwig W et al. Inosine reduces microcirculatory disturbance and inflammatory organ damage in experimental acute pancreatitis in rats - The American Journal of Surgery. American Journal of Surgery 2006; 191: 510–514.</w:t>
      </w:r>
      <w:bookmarkEnd w:id="18"/>
    </w:p>
    <w:p w14:paraId="575FD641" w14:textId="77777777" w:rsidR="008505F4" w:rsidRPr="0057147C" w:rsidRDefault="008505F4" w:rsidP="008505F4">
      <w:pPr>
        <w:pStyle w:val="EndNoteBibliography"/>
      </w:pPr>
      <w:bookmarkStart w:id="19" w:name="_ENREF_5"/>
      <w:r w:rsidRPr="0057147C">
        <w:t>5.</w:t>
      </w:r>
      <w:r w:rsidRPr="0057147C">
        <w:tab/>
        <w:t>Heider P, Wildgruber M, Wolf O et al. Improvement of microcirculation after percutaneous transluminal angioplasty in the lower limb with prostaglandin E1. Prostaglandins &amp; Other Lipid Mediators 2008; 88: 23-30.</w:t>
      </w:r>
      <w:bookmarkEnd w:id="19"/>
    </w:p>
    <w:p w14:paraId="12AB54C8" w14:textId="77777777" w:rsidR="008505F4" w:rsidRPr="0057147C" w:rsidRDefault="008505F4" w:rsidP="008505F4">
      <w:pPr>
        <w:pStyle w:val="EndNoteBibliography"/>
      </w:pPr>
      <w:bookmarkStart w:id="20" w:name="_ENREF_6"/>
      <w:r w:rsidRPr="0057147C">
        <w:t>6.</w:t>
      </w:r>
      <w:r w:rsidRPr="0057147C">
        <w:tab/>
        <w:t>Banks PA, Bollen TL, Dervenis C et al. Classification of acute pancreatitis--2012: revision of the Atlanta classification and definitions by international consensus. Gut 2013; 62: 102-111.</w:t>
      </w:r>
      <w:bookmarkEnd w:id="20"/>
    </w:p>
    <w:p w14:paraId="51E035FA" w14:textId="77777777" w:rsidR="008505F4" w:rsidRPr="0057147C" w:rsidRDefault="008505F4" w:rsidP="008505F4">
      <w:pPr>
        <w:pStyle w:val="EndNoteBibliography"/>
      </w:pPr>
      <w:bookmarkStart w:id="21" w:name="_ENREF_7"/>
      <w:r w:rsidRPr="0057147C">
        <w:t>7.</w:t>
      </w:r>
      <w:r w:rsidRPr="0057147C">
        <w:tab/>
        <w:t>Knaus WA, Draper EA, Wagner DP, Zimmerman JE. APACHE II: a severity of disease classification system. Critical Care Medicine 1985; 13: 818-829.</w:t>
      </w:r>
      <w:bookmarkEnd w:id="21"/>
    </w:p>
    <w:p w14:paraId="21838FF0" w14:textId="77777777" w:rsidR="008505F4" w:rsidRPr="0057147C" w:rsidRDefault="008505F4" w:rsidP="008505F4">
      <w:pPr>
        <w:pStyle w:val="EndNoteBibliography"/>
      </w:pPr>
      <w:bookmarkStart w:id="22" w:name="_ENREF_8"/>
      <w:r w:rsidRPr="0057147C">
        <w:t>8.</w:t>
      </w:r>
      <w:r w:rsidRPr="0057147C">
        <w:tab/>
        <w:t>Balthazar EJ, Robinson DL, Megibow AJ, Ranson JH. Acute pancreatitis: value of CT in establishing prognosis. Radiology 1990; 174: 331-336.</w:t>
      </w:r>
      <w:bookmarkEnd w:id="22"/>
    </w:p>
    <w:p w14:paraId="4F35B50A" w14:textId="77777777" w:rsidR="008505F4" w:rsidRPr="0057147C" w:rsidRDefault="008505F4" w:rsidP="008505F4">
      <w:pPr>
        <w:pStyle w:val="EndNoteBibliography"/>
        <w:rPr>
          <w:rFonts w:hint="eastAsia"/>
        </w:rPr>
      </w:pPr>
      <w:bookmarkStart w:id="23" w:name="_ENREF_9"/>
      <w:r w:rsidRPr="0057147C">
        <w:rPr>
          <w:rFonts w:hint="eastAsia"/>
        </w:rPr>
        <w:t>9.</w:t>
      </w:r>
      <w:r w:rsidRPr="0057147C">
        <w:rPr>
          <w:rFonts w:hint="eastAsia"/>
        </w:rPr>
        <w:tab/>
      </w:r>
      <w:r w:rsidRPr="0057147C">
        <w:rPr>
          <w:rFonts w:hint="eastAsia"/>
        </w:rPr>
        <w:t>中华医学会消化病学分会胰腺疾病学组</w:t>
      </w:r>
      <w:r w:rsidRPr="0057147C">
        <w:rPr>
          <w:rFonts w:hint="eastAsia"/>
        </w:rPr>
        <w:t xml:space="preserve">. </w:t>
      </w:r>
      <w:r w:rsidRPr="0057147C">
        <w:rPr>
          <w:rFonts w:hint="eastAsia"/>
        </w:rPr>
        <w:t>中国急性胰腺炎诊治指南</w:t>
      </w:r>
      <w:r w:rsidRPr="0057147C">
        <w:rPr>
          <w:rFonts w:hint="eastAsia"/>
        </w:rPr>
        <w:t>(2013</w:t>
      </w:r>
      <w:r w:rsidRPr="0057147C">
        <w:rPr>
          <w:rFonts w:hint="eastAsia"/>
        </w:rPr>
        <w:t>年</w:t>
      </w:r>
      <w:r w:rsidRPr="0057147C">
        <w:rPr>
          <w:rFonts w:hint="eastAsia"/>
        </w:rPr>
        <w:t>,</w:t>
      </w:r>
      <w:r w:rsidRPr="0057147C">
        <w:rPr>
          <w:rFonts w:hint="eastAsia"/>
        </w:rPr>
        <w:t>上海</w:t>
      </w:r>
      <w:r w:rsidRPr="0057147C">
        <w:rPr>
          <w:rFonts w:hint="eastAsia"/>
        </w:rPr>
        <w:t xml:space="preserve">). </w:t>
      </w:r>
      <w:r w:rsidRPr="0057147C">
        <w:rPr>
          <w:rFonts w:hint="eastAsia"/>
        </w:rPr>
        <w:t>中国实用内科杂志</w:t>
      </w:r>
      <w:r w:rsidRPr="0057147C">
        <w:rPr>
          <w:rFonts w:hint="eastAsia"/>
        </w:rPr>
        <w:t xml:space="preserve"> 2013; 29: 530-535.</w:t>
      </w:r>
      <w:bookmarkEnd w:id="23"/>
    </w:p>
    <w:p w14:paraId="5A6F2C14" w14:textId="77777777" w:rsidR="008505F4" w:rsidRPr="0057147C" w:rsidRDefault="008505F4" w:rsidP="008505F4">
      <w:pPr>
        <w:pStyle w:val="EndNoteBibliography"/>
      </w:pPr>
      <w:bookmarkStart w:id="24" w:name="_ENREF_10"/>
      <w:r w:rsidRPr="0057147C">
        <w:t>10.</w:t>
      </w:r>
      <w:r w:rsidRPr="0057147C">
        <w:tab/>
        <w:t>Banks PA, Bollen TL, Dervenis C et al. Classification of acute pancreatitis--2012: revision of the Atlanta classification and definitions by international consensus. Gut 2013; 62: 102-111.</w:t>
      </w:r>
      <w:bookmarkEnd w:id="24"/>
    </w:p>
    <w:p w14:paraId="75FAE73C" w14:textId="77777777" w:rsidR="008505F4" w:rsidRPr="0057147C" w:rsidRDefault="008505F4" w:rsidP="008505F4">
      <w:pPr>
        <w:pStyle w:val="EndNoteBibliography"/>
      </w:pPr>
      <w:bookmarkStart w:id="25" w:name="_ENREF_11"/>
      <w:r w:rsidRPr="0057147C">
        <w:t>11.</w:t>
      </w:r>
      <w:r w:rsidRPr="0057147C">
        <w:tab/>
        <w:t>Dhaliwal R, Madden SM, Cahill N et al. Guidelines, guidelines, guidelines: what are we to do with all of these North American guidelines? Journal of Parenteral &amp; Enteral Nutrition 2010; 34: 625-643.</w:t>
      </w:r>
      <w:bookmarkEnd w:id="25"/>
    </w:p>
    <w:p w14:paraId="3585DF2F" w14:textId="77777777" w:rsidR="008505F4" w:rsidRPr="0057147C" w:rsidRDefault="008505F4" w:rsidP="008505F4">
      <w:pPr>
        <w:pStyle w:val="EndNoteBibliography"/>
      </w:pPr>
      <w:bookmarkStart w:id="26" w:name="_ENREF_12"/>
      <w:r w:rsidRPr="0057147C">
        <w:t>12.</w:t>
      </w:r>
      <w:r w:rsidRPr="0057147C">
        <w:tab/>
        <w:t>Karpavicius A, Dambrauskas Z, Sileikis A et al. Value of adipokines in predicting the severity of acute pancreatitis: Comprehensive review. World Journal of Gastroenterology 2012; 18: 6620-6627.</w:t>
      </w:r>
      <w:bookmarkEnd w:id="26"/>
    </w:p>
    <w:p w14:paraId="6BCFE79C" w14:textId="77777777" w:rsidR="008505F4" w:rsidRPr="0057147C" w:rsidRDefault="008505F4" w:rsidP="008505F4">
      <w:pPr>
        <w:pStyle w:val="EndNoteBibliography"/>
      </w:pPr>
      <w:bookmarkStart w:id="27" w:name="_ENREF_13"/>
      <w:r w:rsidRPr="0057147C">
        <w:t>13.</w:t>
      </w:r>
      <w:r w:rsidRPr="0057147C">
        <w:tab/>
        <w:t>Zhang XP, Li ZJ, Zhang J. Inlfammatory mediators and microcirculatory disturbance in acute pancreatitis. Hepatobiliary &amp; Pancreatic Diseases International Hbpd Int 2009; 8: 351-357.</w:t>
      </w:r>
      <w:bookmarkEnd w:id="27"/>
    </w:p>
    <w:p w14:paraId="21F54E33" w14:textId="77777777" w:rsidR="008505F4" w:rsidRPr="0057147C" w:rsidRDefault="008505F4" w:rsidP="008505F4">
      <w:pPr>
        <w:pStyle w:val="EndNoteBibliography"/>
      </w:pPr>
      <w:bookmarkStart w:id="28" w:name="_ENREF_14"/>
      <w:r w:rsidRPr="0057147C">
        <w:t>14.</w:t>
      </w:r>
      <w:r w:rsidRPr="0057147C">
        <w:tab/>
        <w:t>Piri M, Alhan E, Küçüktülü U et al. The effects of prostaglandin E1 on the microperfusion of the pancreas during acute necrotizing pancreatitis in rats. Hepato-gastroenterology 2002; 49: 544-548.</w:t>
      </w:r>
      <w:bookmarkEnd w:id="28"/>
    </w:p>
    <w:p w14:paraId="5AC5BE09" w14:textId="77777777" w:rsidR="008505F4" w:rsidRPr="0057147C" w:rsidRDefault="008505F4" w:rsidP="008505F4">
      <w:pPr>
        <w:pStyle w:val="EndNoteBibliography"/>
      </w:pPr>
      <w:bookmarkStart w:id="29" w:name="_ENREF_15"/>
      <w:r w:rsidRPr="0057147C">
        <w:t>15.</w:t>
      </w:r>
      <w:r w:rsidRPr="0057147C">
        <w:tab/>
        <w:t>Wentong F, Hongjian L, Liaosheng Z et al. Effect of prostaglandin E1 on TNF-induced vascular inflammation in human umbilical vein endothelial cells. Canadian Journal of Physiology &amp; Pharmacology 2010; 88: 576-583.</w:t>
      </w:r>
      <w:bookmarkEnd w:id="29"/>
    </w:p>
    <w:p w14:paraId="6F18525B" w14:textId="77777777" w:rsidR="008505F4" w:rsidRPr="0057147C" w:rsidRDefault="008505F4" w:rsidP="008505F4">
      <w:pPr>
        <w:pStyle w:val="EndNoteBibliography"/>
      </w:pPr>
      <w:bookmarkStart w:id="30" w:name="_ENREF_16"/>
      <w:r w:rsidRPr="0057147C">
        <w:t>16.</w:t>
      </w:r>
      <w:r w:rsidRPr="0057147C">
        <w:tab/>
        <w:t>Takahashi H, Imamura M, Y, Yamauchi H. Exacerbation of acute pancreatitis in the presence of chronic liver injury in rats, with special reference to therapeutic efficacy of prostaglandin E1. Pancreas 1999; 19: 199-204.</w:t>
      </w:r>
      <w:bookmarkEnd w:id="30"/>
    </w:p>
    <w:p w14:paraId="131C6D44" w14:textId="77777777" w:rsidR="008505F4" w:rsidRPr="0057147C" w:rsidRDefault="008505F4" w:rsidP="008505F4">
      <w:pPr>
        <w:pStyle w:val="EndNoteBibliography"/>
      </w:pPr>
      <w:bookmarkStart w:id="31" w:name="_ENREF_17"/>
      <w:r w:rsidRPr="0057147C">
        <w:t>17.</w:t>
      </w:r>
      <w:r w:rsidRPr="0057147C">
        <w:tab/>
        <w:t>Vozzi F, Bianchi F, Ahluwalia A, Domenici C. Hydrostatic pressure and shear stress affect endothelin-1 and nitric oxide release by endothelial cells in bioreactors. Biotechnology Journal 2014; 9: 146–154.</w:t>
      </w:r>
      <w:bookmarkEnd w:id="31"/>
    </w:p>
    <w:p w14:paraId="44987516" w14:textId="77777777" w:rsidR="008505F4" w:rsidRPr="0057147C" w:rsidRDefault="008505F4" w:rsidP="008505F4">
      <w:pPr>
        <w:pStyle w:val="EndNoteBibliography"/>
        <w:rPr>
          <w:rFonts w:hint="eastAsia"/>
        </w:rPr>
      </w:pPr>
      <w:bookmarkStart w:id="32" w:name="_ENREF_18"/>
      <w:r w:rsidRPr="0057147C">
        <w:rPr>
          <w:rFonts w:hint="eastAsia"/>
        </w:rPr>
        <w:t>18.</w:t>
      </w:r>
      <w:r w:rsidRPr="0057147C">
        <w:rPr>
          <w:rFonts w:hint="eastAsia"/>
        </w:rPr>
        <w:tab/>
      </w:r>
      <w:r w:rsidRPr="0057147C">
        <w:rPr>
          <w:rFonts w:hint="eastAsia"/>
        </w:rPr>
        <w:t>吴钢</w:t>
      </w:r>
      <w:r w:rsidRPr="0057147C">
        <w:rPr>
          <w:rFonts w:hint="eastAsia"/>
        </w:rPr>
        <w:t xml:space="preserve">, </w:t>
      </w:r>
      <w:r w:rsidRPr="0057147C">
        <w:rPr>
          <w:rFonts w:hint="eastAsia"/>
        </w:rPr>
        <w:t>姜琦</w:t>
      </w:r>
      <w:r w:rsidRPr="0057147C">
        <w:rPr>
          <w:rFonts w:hint="eastAsia"/>
        </w:rPr>
        <w:t xml:space="preserve">, </w:t>
      </w:r>
      <w:r w:rsidRPr="0057147C">
        <w:rPr>
          <w:rFonts w:hint="eastAsia"/>
        </w:rPr>
        <w:t>赵昌杰</w:t>
      </w:r>
      <w:r w:rsidRPr="0057147C">
        <w:rPr>
          <w:rFonts w:hint="eastAsia"/>
        </w:rPr>
        <w:t xml:space="preserve">, </w:t>
      </w:r>
      <w:r w:rsidRPr="0057147C">
        <w:rPr>
          <w:rFonts w:hint="eastAsia"/>
        </w:rPr>
        <w:t>童诚</w:t>
      </w:r>
      <w:r w:rsidRPr="0057147C">
        <w:rPr>
          <w:rFonts w:hint="eastAsia"/>
        </w:rPr>
        <w:t xml:space="preserve">. </w:t>
      </w:r>
      <w:r w:rsidRPr="0057147C">
        <w:rPr>
          <w:rFonts w:hint="eastAsia"/>
        </w:rPr>
        <w:t>重症急性胰腺炎患者血浆内皮素</w:t>
      </w:r>
      <w:r w:rsidRPr="0057147C">
        <w:rPr>
          <w:rFonts w:hint="eastAsia"/>
        </w:rPr>
        <w:t>-1</w:t>
      </w:r>
      <w:r w:rsidRPr="0057147C">
        <w:rPr>
          <w:rFonts w:hint="eastAsia"/>
        </w:rPr>
        <w:t>、一氧化氮的动态变化及前列地尔的干预作用</w:t>
      </w:r>
      <w:r w:rsidRPr="0057147C">
        <w:rPr>
          <w:rFonts w:hint="eastAsia"/>
        </w:rPr>
        <w:t xml:space="preserve">. </w:t>
      </w:r>
      <w:r w:rsidRPr="0057147C">
        <w:rPr>
          <w:rFonts w:hint="eastAsia"/>
        </w:rPr>
        <w:t>世界华人消化杂志</w:t>
      </w:r>
      <w:r w:rsidRPr="0057147C">
        <w:rPr>
          <w:rFonts w:hint="eastAsia"/>
        </w:rPr>
        <w:t xml:space="preserve"> 2015; 142-146.</w:t>
      </w:r>
      <w:bookmarkEnd w:id="32"/>
    </w:p>
    <w:p w14:paraId="27D0AD5A" w14:textId="77777777" w:rsidR="008505F4" w:rsidRDefault="008505F4" w:rsidP="008505F4">
      <w:pPr>
        <w:rPr>
          <w:rFonts w:hint="eastAsia"/>
        </w:rPr>
      </w:pPr>
      <w:r>
        <w:lastRenderedPageBreak/>
        <w:fldChar w:fldCharType="end"/>
      </w:r>
      <w:r>
        <w:fldChar w:fldCharType="begin"/>
      </w:r>
      <w:r>
        <w:instrText xml:space="preserve"> ADDIN </w:instrText>
      </w:r>
      <w:r>
        <w:fldChar w:fldCharType="end"/>
      </w:r>
    </w:p>
    <w:p w14:paraId="235EC220" w14:textId="677D4871" w:rsidR="006F3F20" w:rsidRPr="008505F4" w:rsidRDefault="006F3F20" w:rsidP="008505F4">
      <w:bookmarkStart w:id="33" w:name="_GoBack"/>
      <w:bookmarkEnd w:id="33"/>
    </w:p>
    <w:sectPr w:rsidR="006F3F20" w:rsidRPr="008505F4">
      <w:footerReference w:type="default" r:id="rId9"/>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4ABB41" w14:textId="77777777" w:rsidR="00233F8F" w:rsidRDefault="00233F8F" w:rsidP="007B6363">
      <w:pPr>
        <w:spacing w:line="240" w:lineRule="auto"/>
      </w:pPr>
      <w:r>
        <w:separator/>
      </w:r>
    </w:p>
  </w:endnote>
  <w:endnote w:type="continuationSeparator" w:id="0">
    <w:p w14:paraId="638F32D0" w14:textId="77777777" w:rsidR="00233F8F" w:rsidRDefault="00233F8F" w:rsidP="007B63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宋体">
    <w:altName w:val="SimSun"/>
    <w:panose1 w:val="02010600030101010101"/>
    <w:charset w:val="86"/>
    <w:family w:val="auto"/>
    <w:pitch w:val="variable"/>
    <w:sig w:usb0="00000003" w:usb1="288F0000" w:usb2="00000016" w:usb3="00000000" w:csb0="00040001" w:csb1="00000000"/>
  </w:font>
  <w:font w:name="Times">
    <w:panose1 w:val="02020603050405020304"/>
    <w:charset w:val="00"/>
    <w:family w:val="auto"/>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Heiti SC Light">
    <w:charset w:val="50"/>
    <w:family w:val="auto"/>
    <w:pitch w:val="variable"/>
    <w:sig w:usb0="8000002F" w:usb1="080E004A" w:usb2="00000010" w:usb3="00000000" w:csb0="003E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566B3" w14:textId="1FFDD1BE" w:rsidR="005476B5" w:rsidRDefault="008505F4">
    <w:pPr>
      <w:pStyle w:val="a8"/>
    </w:pPr>
    <w:r>
      <w:rPr>
        <w:noProof/>
      </w:rPr>
      <mc:AlternateContent>
        <mc:Choice Requires="wps">
          <w:drawing>
            <wp:anchor distT="0" distB="0" distL="114300" distR="114300" simplePos="0" relativeHeight="251659264" behindDoc="0" locked="0" layoutInCell="1" allowOverlap="1" wp14:anchorId="0B971FCE" wp14:editId="637F26BB">
              <wp:simplePos x="0" y="0"/>
              <wp:positionH relativeFrom="margin">
                <wp:align>right</wp:align>
              </wp:positionH>
              <wp:positionV relativeFrom="paragraph">
                <wp:posOffset>0</wp:posOffset>
              </wp:positionV>
              <wp:extent cx="57785" cy="131445"/>
              <wp:effectExtent l="0" t="0" r="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ABC79A" w14:textId="77777777" w:rsidR="005476B5" w:rsidRDefault="00233F8F">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8505F4">
                            <w:rPr>
                              <w:noProof/>
                              <w:sz w:val="18"/>
                            </w:rPr>
                            <w:t>1</w:t>
                          </w:r>
                          <w:r>
                            <w:rPr>
                              <w:rFonts w:hint="eastAsia"/>
                              <w:sz w:val="1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46.65pt;margin-top:0;width:4.55pt;height:10.35pt;z-index:251659264;visibility:visible;mso-wrap-style:non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" filled="f" stroked="f">
              <v:textbox style="mso-fit-shape-to-text:t" inset="0,0,0,0">
                <w:txbxContent>
                  <w:p w14:paraId="3FABC79A" w14:textId="77777777" w:rsidR="005476B5" w:rsidRDefault="00233F8F">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8505F4">
                      <w:rPr>
                        <w:noProof/>
                        <w:sz w:val="18"/>
                      </w:rPr>
                      <w:t>1</w:t>
                    </w:r>
                    <w:r>
                      <w:rPr>
                        <w:rFonts w:hint="eastAsia"/>
                        <w:sz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C3C3BE" w14:textId="77777777" w:rsidR="00233F8F" w:rsidRDefault="00233F8F" w:rsidP="007B6363">
      <w:pPr>
        <w:spacing w:line="240" w:lineRule="auto"/>
      </w:pPr>
      <w:r>
        <w:separator/>
      </w:r>
    </w:p>
  </w:footnote>
  <w:footnote w:type="continuationSeparator" w:id="0">
    <w:p w14:paraId="0A4B228E" w14:textId="77777777" w:rsidR="00233F8F" w:rsidRDefault="00233F8F" w:rsidP="007B636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1355E9F"/>
    <w:multiLevelType w:val="multilevel"/>
    <w:tmpl w:val="9EA6BD62"/>
    <w:lvl w:ilvl="0">
      <w:start w:val="1"/>
      <w:numFmt w:val="decimal"/>
      <w:lvlText w:val="［%1］"/>
      <w:lvlJc w:val="left"/>
      <w:pPr>
        <w:ind w:left="1080" w:hanging="1080"/>
      </w:pPr>
      <w:rPr>
        <w:rFonts w:asciiTheme="minorEastAsia" w:eastAsiaTheme="minorEastAsia" w:hAnsiTheme="minorEastAsia" w:cs="Times"/>
        <w:sz w:val="28"/>
        <w:szCs w:val="28"/>
      </w:r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2">
    <w:nsid w:val="510E3FDC"/>
    <w:multiLevelType w:val="hybridMultilevel"/>
    <w:tmpl w:val="F8162F10"/>
    <w:lvl w:ilvl="0" w:tplc="A6708F40">
      <w:start w:val="1"/>
      <w:numFmt w:val="decimal"/>
      <w:lvlText w:val="%1、"/>
      <w:lvlJc w:val="left"/>
      <w:pPr>
        <w:ind w:left="720" w:hanging="72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3">
    <w:nsid w:val="59525BA2"/>
    <w:multiLevelType w:val="multilevel"/>
    <w:tmpl w:val="44AE2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FE472BC"/>
    <w:multiLevelType w:val="hybridMultilevel"/>
    <w:tmpl w:val="5290F682"/>
    <w:lvl w:ilvl="0" w:tplc="1C0ECFB0">
      <w:start w:val="6"/>
      <w:numFmt w:val="decimal"/>
      <w:lvlText w:val="（%1）"/>
      <w:lvlJc w:val="left"/>
      <w:pPr>
        <w:ind w:left="720" w:hanging="72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5">
    <w:nsid w:val="69BA4D00"/>
    <w:multiLevelType w:val="hybridMultilevel"/>
    <w:tmpl w:val="2ECE19C4"/>
    <w:lvl w:ilvl="0" w:tplc="8F845040">
      <w:start w:val="5"/>
      <w:numFmt w:val="decimal"/>
      <w:lvlText w:val="［%1］"/>
      <w:lvlJc w:val="left"/>
      <w:pPr>
        <w:ind w:left="720" w:hanging="72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6">
    <w:nsid w:val="72EC28E9"/>
    <w:multiLevelType w:val="hybridMultilevel"/>
    <w:tmpl w:val="F31CFE26"/>
    <w:lvl w:ilvl="0" w:tplc="7DD01A92">
      <w:start w:val="1"/>
      <w:numFmt w:val="decimal"/>
      <w:lvlText w:val="［%1］"/>
      <w:lvlJc w:val="left"/>
      <w:pPr>
        <w:ind w:left="1080" w:hanging="1080"/>
      </w:pPr>
      <w:rPr>
        <w:rFonts w:asciiTheme="minorEastAsia" w:eastAsiaTheme="minorEastAsia" w:hAnsiTheme="minorEastAsia" w:cs="Times"/>
        <w:sz w:val="20"/>
        <w:szCs w:val="20"/>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7">
    <w:nsid w:val="775C4636"/>
    <w:multiLevelType w:val="hybridMultilevel"/>
    <w:tmpl w:val="5CA6C7A4"/>
    <w:lvl w:ilvl="0" w:tplc="44106C54">
      <w:start w:val="1"/>
      <w:numFmt w:val="decimal"/>
      <w:lvlText w:val="%1、"/>
      <w:lvlJc w:val="left"/>
      <w:pPr>
        <w:ind w:left="720" w:hanging="72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7380"/>
    <w:rsid w:val="00007B5B"/>
    <w:rsid w:val="00015BFC"/>
    <w:rsid w:val="00024648"/>
    <w:rsid w:val="000B588A"/>
    <w:rsid w:val="000C09B1"/>
    <w:rsid w:val="000C36E8"/>
    <w:rsid w:val="000E1C2A"/>
    <w:rsid w:val="000E7D21"/>
    <w:rsid w:val="00183FAF"/>
    <w:rsid w:val="001F3035"/>
    <w:rsid w:val="00214372"/>
    <w:rsid w:val="00233F8F"/>
    <w:rsid w:val="002A2C55"/>
    <w:rsid w:val="002C57B8"/>
    <w:rsid w:val="0030158C"/>
    <w:rsid w:val="00314816"/>
    <w:rsid w:val="00324F0F"/>
    <w:rsid w:val="00341804"/>
    <w:rsid w:val="003535BA"/>
    <w:rsid w:val="003941FD"/>
    <w:rsid w:val="00397E73"/>
    <w:rsid w:val="003F3638"/>
    <w:rsid w:val="00404F3B"/>
    <w:rsid w:val="00444BC0"/>
    <w:rsid w:val="004632EA"/>
    <w:rsid w:val="00481570"/>
    <w:rsid w:val="004C0756"/>
    <w:rsid w:val="00523731"/>
    <w:rsid w:val="00583AB2"/>
    <w:rsid w:val="005860AF"/>
    <w:rsid w:val="00592D87"/>
    <w:rsid w:val="005A3AA0"/>
    <w:rsid w:val="005C15B5"/>
    <w:rsid w:val="006056A7"/>
    <w:rsid w:val="00625C00"/>
    <w:rsid w:val="00640B7C"/>
    <w:rsid w:val="006477C5"/>
    <w:rsid w:val="00652D63"/>
    <w:rsid w:val="006849FF"/>
    <w:rsid w:val="006A39D6"/>
    <w:rsid w:val="006F3F20"/>
    <w:rsid w:val="00737D68"/>
    <w:rsid w:val="00763E93"/>
    <w:rsid w:val="007A289C"/>
    <w:rsid w:val="007B6363"/>
    <w:rsid w:val="007C1643"/>
    <w:rsid w:val="007D3B2E"/>
    <w:rsid w:val="007F0580"/>
    <w:rsid w:val="008505F4"/>
    <w:rsid w:val="008B233E"/>
    <w:rsid w:val="00981C40"/>
    <w:rsid w:val="00997380"/>
    <w:rsid w:val="009E6A2A"/>
    <w:rsid w:val="009F5552"/>
    <w:rsid w:val="009F5DB1"/>
    <w:rsid w:val="00A03A2C"/>
    <w:rsid w:val="00A049A6"/>
    <w:rsid w:val="00A32D9D"/>
    <w:rsid w:val="00A503E5"/>
    <w:rsid w:val="00A76B48"/>
    <w:rsid w:val="00A94D7A"/>
    <w:rsid w:val="00AA5DCA"/>
    <w:rsid w:val="00AB3DD8"/>
    <w:rsid w:val="00AB584F"/>
    <w:rsid w:val="00AC0AF6"/>
    <w:rsid w:val="00AD59B2"/>
    <w:rsid w:val="00B22C9E"/>
    <w:rsid w:val="00B22E38"/>
    <w:rsid w:val="00B25ACC"/>
    <w:rsid w:val="00B44A2A"/>
    <w:rsid w:val="00B8133C"/>
    <w:rsid w:val="00B9413D"/>
    <w:rsid w:val="00BA31F9"/>
    <w:rsid w:val="00BB4DDD"/>
    <w:rsid w:val="00BC10E1"/>
    <w:rsid w:val="00BD6D5E"/>
    <w:rsid w:val="00BD7076"/>
    <w:rsid w:val="00C33005"/>
    <w:rsid w:val="00C35C35"/>
    <w:rsid w:val="00C44B44"/>
    <w:rsid w:val="00C44E41"/>
    <w:rsid w:val="00C47AD0"/>
    <w:rsid w:val="00C558ED"/>
    <w:rsid w:val="00C65876"/>
    <w:rsid w:val="00C7223F"/>
    <w:rsid w:val="00C83620"/>
    <w:rsid w:val="00CC4FC5"/>
    <w:rsid w:val="00CC5F7D"/>
    <w:rsid w:val="00CF04EB"/>
    <w:rsid w:val="00CF7B46"/>
    <w:rsid w:val="00D17246"/>
    <w:rsid w:val="00D1767C"/>
    <w:rsid w:val="00D17B70"/>
    <w:rsid w:val="00D36650"/>
    <w:rsid w:val="00D36C2A"/>
    <w:rsid w:val="00D45890"/>
    <w:rsid w:val="00D47BFC"/>
    <w:rsid w:val="00D7194B"/>
    <w:rsid w:val="00D84781"/>
    <w:rsid w:val="00D92FD9"/>
    <w:rsid w:val="00DA6F7A"/>
    <w:rsid w:val="00DC3FBA"/>
    <w:rsid w:val="00DF717A"/>
    <w:rsid w:val="00E047B8"/>
    <w:rsid w:val="00E12707"/>
    <w:rsid w:val="00E16CD9"/>
    <w:rsid w:val="00E17474"/>
    <w:rsid w:val="00E2069C"/>
    <w:rsid w:val="00E468C5"/>
    <w:rsid w:val="00F27065"/>
    <w:rsid w:val="00FD0C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1B93D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Char"/>
    <w:uiPriority w:val="9"/>
    <w:qFormat/>
    <w:rsid w:val="006849FF"/>
    <w:pPr>
      <w:spacing w:before="100" w:beforeAutospacing="1" w:after="100" w:afterAutospacing="1" w:line="240" w:lineRule="auto"/>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6849FF"/>
    <w:pPr>
      <w:spacing w:before="100" w:beforeAutospacing="1" w:after="100" w:afterAutospacing="1" w:line="240" w:lineRule="auto"/>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97380"/>
    <w:pPr>
      <w:ind w:firstLineChars="200" w:firstLine="420"/>
    </w:pPr>
  </w:style>
  <w:style w:type="table" w:styleId="a4">
    <w:name w:val="Light Shading"/>
    <w:basedOn w:val="a1"/>
    <w:uiPriority w:val="60"/>
    <w:rsid w:val="00C47AD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5">
    <w:name w:val="Table Grid"/>
    <w:basedOn w:val="a1"/>
    <w:uiPriority w:val="59"/>
    <w:rsid w:val="00015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Char"/>
    <w:uiPriority w:val="99"/>
    <w:semiHidden/>
    <w:unhideWhenUsed/>
    <w:rsid w:val="006F3F20"/>
    <w:rPr>
      <w:rFonts w:ascii="Heiti SC Light" w:eastAsia="Heiti SC Light"/>
      <w:sz w:val="18"/>
      <w:szCs w:val="18"/>
    </w:rPr>
  </w:style>
  <w:style w:type="character" w:customStyle="1" w:styleId="Char">
    <w:name w:val="批注框文本 Char"/>
    <w:basedOn w:val="a0"/>
    <w:link w:val="a6"/>
    <w:uiPriority w:val="99"/>
    <w:semiHidden/>
    <w:rsid w:val="006F3F20"/>
    <w:rPr>
      <w:rFonts w:ascii="Heiti SC Light" w:eastAsia="Heiti SC Light"/>
      <w:sz w:val="18"/>
      <w:szCs w:val="18"/>
    </w:rPr>
  </w:style>
  <w:style w:type="paragraph" w:styleId="a7">
    <w:name w:val="header"/>
    <w:basedOn w:val="a"/>
    <w:link w:val="Char0"/>
    <w:uiPriority w:val="99"/>
    <w:unhideWhenUsed/>
    <w:rsid w:val="007B6363"/>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0">
    <w:name w:val="页眉 Char"/>
    <w:basedOn w:val="a0"/>
    <w:link w:val="a7"/>
    <w:uiPriority w:val="99"/>
    <w:rsid w:val="007B6363"/>
    <w:rPr>
      <w:sz w:val="18"/>
      <w:szCs w:val="18"/>
    </w:rPr>
  </w:style>
  <w:style w:type="paragraph" w:styleId="a8">
    <w:name w:val="footer"/>
    <w:basedOn w:val="a"/>
    <w:link w:val="Char1"/>
    <w:unhideWhenUsed/>
    <w:rsid w:val="007B6363"/>
    <w:pPr>
      <w:tabs>
        <w:tab w:val="center" w:pos="4153"/>
        <w:tab w:val="right" w:pos="8306"/>
      </w:tabs>
      <w:snapToGrid w:val="0"/>
      <w:spacing w:line="240" w:lineRule="auto"/>
      <w:jc w:val="left"/>
    </w:pPr>
    <w:rPr>
      <w:sz w:val="18"/>
      <w:szCs w:val="18"/>
    </w:rPr>
  </w:style>
  <w:style w:type="character" w:customStyle="1" w:styleId="Char1">
    <w:name w:val="页脚 Char"/>
    <w:basedOn w:val="a0"/>
    <w:link w:val="a8"/>
    <w:uiPriority w:val="99"/>
    <w:rsid w:val="007B6363"/>
    <w:rPr>
      <w:sz w:val="18"/>
      <w:szCs w:val="18"/>
    </w:rPr>
  </w:style>
  <w:style w:type="character" w:customStyle="1" w:styleId="1Char">
    <w:name w:val="标题 1 Char"/>
    <w:basedOn w:val="a0"/>
    <w:link w:val="1"/>
    <w:uiPriority w:val="9"/>
    <w:rsid w:val="006849FF"/>
    <w:rPr>
      <w:rFonts w:ascii="宋体" w:eastAsia="宋体" w:hAnsi="宋体" w:cs="宋体"/>
      <w:b/>
      <w:bCs/>
      <w:kern w:val="36"/>
      <w:sz w:val="48"/>
      <w:szCs w:val="48"/>
    </w:rPr>
  </w:style>
  <w:style w:type="character" w:customStyle="1" w:styleId="3Char">
    <w:name w:val="标题 3 Char"/>
    <w:basedOn w:val="a0"/>
    <w:link w:val="3"/>
    <w:uiPriority w:val="9"/>
    <w:rsid w:val="006849FF"/>
    <w:rPr>
      <w:rFonts w:ascii="宋体" w:eastAsia="宋体" w:hAnsi="宋体" w:cs="宋体"/>
      <w:b/>
      <w:bCs/>
      <w:kern w:val="0"/>
      <w:sz w:val="27"/>
      <w:szCs w:val="27"/>
    </w:rPr>
  </w:style>
  <w:style w:type="paragraph" w:customStyle="1" w:styleId="breadnav">
    <w:name w:val="bread_nav"/>
    <w:basedOn w:val="a"/>
    <w:rsid w:val="006849FF"/>
    <w:pPr>
      <w:spacing w:before="100" w:beforeAutospacing="1" w:after="100" w:afterAutospacing="1" w:line="240" w:lineRule="auto"/>
      <w:jc w:val="left"/>
    </w:pPr>
    <w:rPr>
      <w:rFonts w:ascii="宋体" w:eastAsia="宋体" w:hAnsi="宋体" w:cs="宋体"/>
      <w:kern w:val="0"/>
    </w:rPr>
  </w:style>
  <w:style w:type="character" w:styleId="a9">
    <w:name w:val="Hyperlink"/>
    <w:basedOn w:val="a0"/>
    <w:uiPriority w:val="99"/>
    <w:semiHidden/>
    <w:unhideWhenUsed/>
    <w:rsid w:val="006849FF"/>
    <w:rPr>
      <w:color w:val="0000FF"/>
      <w:u w:val="single"/>
    </w:rPr>
  </w:style>
  <w:style w:type="character" w:customStyle="1" w:styleId="apple-converted-space">
    <w:name w:val="apple-converted-space"/>
    <w:basedOn w:val="a0"/>
    <w:rsid w:val="006849FF"/>
  </w:style>
  <w:style w:type="character" w:customStyle="1" w:styleId="collect">
    <w:name w:val="collect"/>
    <w:basedOn w:val="a0"/>
    <w:rsid w:val="006849FF"/>
  </w:style>
  <w:style w:type="paragraph" w:styleId="aa">
    <w:name w:val="Normal (Web)"/>
    <w:basedOn w:val="a"/>
    <w:uiPriority w:val="99"/>
    <w:semiHidden/>
    <w:unhideWhenUsed/>
    <w:rsid w:val="006849FF"/>
    <w:pPr>
      <w:spacing w:before="100" w:beforeAutospacing="1" w:after="100" w:afterAutospacing="1" w:line="240" w:lineRule="auto"/>
      <w:jc w:val="left"/>
    </w:pPr>
    <w:rPr>
      <w:rFonts w:ascii="宋体" w:eastAsia="宋体" w:hAnsi="宋体" w:cs="宋体"/>
      <w:kern w:val="0"/>
    </w:rPr>
  </w:style>
  <w:style w:type="paragraph" w:customStyle="1" w:styleId="eventtags">
    <w:name w:val="event_tags"/>
    <w:basedOn w:val="a"/>
    <w:rsid w:val="006849FF"/>
    <w:pPr>
      <w:spacing w:before="100" w:beforeAutospacing="1" w:after="100" w:afterAutospacing="1" w:line="240" w:lineRule="auto"/>
      <w:jc w:val="left"/>
    </w:pPr>
    <w:rPr>
      <w:rFonts w:ascii="宋体" w:eastAsia="宋体" w:hAnsi="宋体" w:cs="宋体"/>
      <w:kern w:val="0"/>
    </w:rPr>
  </w:style>
  <w:style w:type="paragraph" w:customStyle="1" w:styleId="eventmessage">
    <w:name w:val="event_message"/>
    <w:basedOn w:val="a"/>
    <w:rsid w:val="006849FF"/>
    <w:pPr>
      <w:spacing w:before="100" w:beforeAutospacing="1" w:after="100" w:afterAutospacing="1" w:line="240" w:lineRule="auto"/>
      <w:jc w:val="left"/>
    </w:pPr>
    <w:rPr>
      <w:rFonts w:ascii="宋体" w:eastAsia="宋体" w:hAnsi="宋体" w:cs="宋体"/>
      <w:kern w:val="0"/>
    </w:rPr>
  </w:style>
  <w:style w:type="character" w:customStyle="1" w:styleId="map">
    <w:name w:val="map"/>
    <w:basedOn w:val="a0"/>
    <w:rsid w:val="006849FF"/>
  </w:style>
  <w:style w:type="character" w:customStyle="1" w:styleId="miconfont">
    <w:name w:val="m_iconfont"/>
    <w:basedOn w:val="a0"/>
    <w:rsid w:val="006849FF"/>
  </w:style>
  <w:style w:type="paragraph" w:customStyle="1" w:styleId="sharetext">
    <w:name w:val="share_text"/>
    <w:basedOn w:val="a"/>
    <w:rsid w:val="006849FF"/>
    <w:pPr>
      <w:spacing w:before="100" w:beforeAutospacing="1" w:after="100" w:afterAutospacing="1" w:line="240" w:lineRule="auto"/>
      <w:jc w:val="left"/>
    </w:pPr>
    <w:rPr>
      <w:rFonts w:ascii="宋体" w:eastAsia="宋体" w:hAnsi="宋体" w:cs="宋体"/>
      <w:kern w:val="0"/>
    </w:rPr>
  </w:style>
  <w:style w:type="character" w:styleId="ab">
    <w:name w:val="Strong"/>
    <w:basedOn w:val="a0"/>
    <w:uiPriority w:val="22"/>
    <w:qFormat/>
    <w:rsid w:val="006849FF"/>
    <w:rPr>
      <w:b/>
      <w:bCs/>
    </w:rPr>
  </w:style>
  <w:style w:type="paragraph" w:customStyle="1" w:styleId="EndNoteBibliography">
    <w:name w:val="EndNote Bibliography"/>
    <w:basedOn w:val="a"/>
    <w:link w:val="EndNoteBibliographyChar"/>
    <w:rsid w:val="008505F4"/>
    <w:pPr>
      <w:widowControl w:val="0"/>
      <w:spacing w:line="240" w:lineRule="auto"/>
    </w:pPr>
    <w:rPr>
      <w:rFonts w:ascii="Times New Roman" w:eastAsia="宋体" w:hAnsi="Times New Roman" w:cs="Times New Roman"/>
      <w:noProof/>
      <w:sz w:val="20"/>
      <w:szCs w:val="20"/>
    </w:rPr>
  </w:style>
  <w:style w:type="character" w:customStyle="1" w:styleId="EndNoteBibliographyChar">
    <w:name w:val="EndNote Bibliography Char"/>
    <w:link w:val="EndNoteBibliography"/>
    <w:rsid w:val="008505F4"/>
    <w:rPr>
      <w:rFonts w:ascii="Times New Roman" w:eastAsia="宋体" w:hAnsi="Times New Roman" w:cs="Times New Roman"/>
      <w:noProo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Char"/>
    <w:uiPriority w:val="9"/>
    <w:qFormat/>
    <w:rsid w:val="006849FF"/>
    <w:pPr>
      <w:spacing w:before="100" w:beforeAutospacing="1" w:after="100" w:afterAutospacing="1" w:line="240" w:lineRule="auto"/>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6849FF"/>
    <w:pPr>
      <w:spacing w:before="100" w:beforeAutospacing="1" w:after="100" w:afterAutospacing="1" w:line="240" w:lineRule="auto"/>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97380"/>
    <w:pPr>
      <w:ind w:firstLineChars="200" w:firstLine="420"/>
    </w:pPr>
  </w:style>
  <w:style w:type="table" w:styleId="a4">
    <w:name w:val="Light Shading"/>
    <w:basedOn w:val="a1"/>
    <w:uiPriority w:val="60"/>
    <w:rsid w:val="00C47AD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5">
    <w:name w:val="Table Grid"/>
    <w:basedOn w:val="a1"/>
    <w:uiPriority w:val="59"/>
    <w:rsid w:val="00015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Char"/>
    <w:uiPriority w:val="99"/>
    <w:semiHidden/>
    <w:unhideWhenUsed/>
    <w:rsid w:val="006F3F20"/>
    <w:rPr>
      <w:rFonts w:ascii="Heiti SC Light" w:eastAsia="Heiti SC Light"/>
      <w:sz w:val="18"/>
      <w:szCs w:val="18"/>
    </w:rPr>
  </w:style>
  <w:style w:type="character" w:customStyle="1" w:styleId="Char">
    <w:name w:val="批注框文本 Char"/>
    <w:basedOn w:val="a0"/>
    <w:link w:val="a6"/>
    <w:uiPriority w:val="99"/>
    <w:semiHidden/>
    <w:rsid w:val="006F3F20"/>
    <w:rPr>
      <w:rFonts w:ascii="Heiti SC Light" w:eastAsia="Heiti SC Light"/>
      <w:sz w:val="18"/>
      <w:szCs w:val="18"/>
    </w:rPr>
  </w:style>
  <w:style w:type="paragraph" w:styleId="a7">
    <w:name w:val="header"/>
    <w:basedOn w:val="a"/>
    <w:link w:val="Char0"/>
    <w:uiPriority w:val="99"/>
    <w:unhideWhenUsed/>
    <w:rsid w:val="007B6363"/>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0">
    <w:name w:val="页眉 Char"/>
    <w:basedOn w:val="a0"/>
    <w:link w:val="a7"/>
    <w:uiPriority w:val="99"/>
    <w:rsid w:val="007B6363"/>
    <w:rPr>
      <w:sz w:val="18"/>
      <w:szCs w:val="18"/>
    </w:rPr>
  </w:style>
  <w:style w:type="paragraph" w:styleId="a8">
    <w:name w:val="footer"/>
    <w:basedOn w:val="a"/>
    <w:link w:val="Char1"/>
    <w:unhideWhenUsed/>
    <w:rsid w:val="007B6363"/>
    <w:pPr>
      <w:tabs>
        <w:tab w:val="center" w:pos="4153"/>
        <w:tab w:val="right" w:pos="8306"/>
      </w:tabs>
      <w:snapToGrid w:val="0"/>
      <w:spacing w:line="240" w:lineRule="auto"/>
      <w:jc w:val="left"/>
    </w:pPr>
    <w:rPr>
      <w:sz w:val="18"/>
      <w:szCs w:val="18"/>
    </w:rPr>
  </w:style>
  <w:style w:type="character" w:customStyle="1" w:styleId="Char1">
    <w:name w:val="页脚 Char"/>
    <w:basedOn w:val="a0"/>
    <w:link w:val="a8"/>
    <w:uiPriority w:val="99"/>
    <w:rsid w:val="007B6363"/>
    <w:rPr>
      <w:sz w:val="18"/>
      <w:szCs w:val="18"/>
    </w:rPr>
  </w:style>
  <w:style w:type="character" w:customStyle="1" w:styleId="1Char">
    <w:name w:val="标题 1 Char"/>
    <w:basedOn w:val="a0"/>
    <w:link w:val="1"/>
    <w:uiPriority w:val="9"/>
    <w:rsid w:val="006849FF"/>
    <w:rPr>
      <w:rFonts w:ascii="宋体" w:eastAsia="宋体" w:hAnsi="宋体" w:cs="宋体"/>
      <w:b/>
      <w:bCs/>
      <w:kern w:val="36"/>
      <w:sz w:val="48"/>
      <w:szCs w:val="48"/>
    </w:rPr>
  </w:style>
  <w:style w:type="character" w:customStyle="1" w:styleId="3Char">
    <w:name w:val="标题 3 Char"/>
    <w:basedOn w:val="a0"/>
    <w:link w:val="3"/>
    <w:uiPriority w:val="9"/>
    <w:rsid w:val="006849FF"/>
    <w:rPr>
      <w:rFonts w:ascii="宋体" w:eastAsia="宋体" w:hAnsi="宋体" w:cs="宋体"/>
      <w:b/>
      <w:bCs/>
      <w:kern w:val="0"/>
      <w:sz w:val="27"/>
      <w:szCs w:val="27"/>
    </w:rPr>
  </w:style>
  <w:style w:type="paragraph" w:customStyle="1" w:styleId="breadnav">
    <w:name w:val="bread_nav"/>
    <w:basedOn w:val="a"/>
    <w:rsid w:val="006849FF"/>
    <w:pPr>
      <w:spacing w:before="100" w:beforeAutospacing="1" w:after="100" w:afterAutospacing="1" w:line="240" w:lineRule="auto"/>
      <w:jc w:val="left"/>
    </w:pPr>
    <w:rPr>
      <w:rFonts w:ascii="宋体" w:eastAsia="宋体" w:hAnsi="宋体" w:cs="宋体"/>
      <w:kern w:val="0"/>
    </w:rPr>
  </w:style>
  <w:style w:type="character" w:styleId="a9">
    <w:name w:val="Hyperlink"/>
    <w:basedOn w:val="a0"/>
    <w:uiPriority w:val="99"/>
    <w:semiHidden/>
    <w:unhideWhenUsed/>
    <w:rsid w:val="006849FF"/>
    <w:rPr>
      <w:color w:val="0000FF"/>
      <w:u w:val="single"/>
    </w:rPr>
  </w:style>
  <w:style w:type="character" w:customStyle="1" w:styleId="apple-converted-space">
    <w:name w:val="apple-converted-space"/>
    <w:basedOn w:val="a0"/>
    <w:rsid w:val="006849FF"/>
  </w:style>
  <w:style w:type="character" w:customStyle="1" w:styleId="collect">
    <w:name w:val="collect"/>
    <w:basedOn w:val="a0"/>
    <w:rsid w:val="006849FF"/>
  </w:style>
  <w:style w:type="paragraph" w:styleId="aa">
    <w:name w:val="Normal (Web)"/>
    <w:basedOn w:val="a"/>
    <w:uiPriority w:val="99"/>
    <w:semiHidden/>
    <w:unhideWhenUsed/>
    <w:rsid w:val="006849FF"/>
    <w:pPr>
      <w:spacing w:before="100" w:beforeAutospacing="1" w:after="100" w:afterAutospacing="1" w:line="240" w:lineRule="auto"/>
      <w:jc w:val="left"/>
    </w:pPr>
    <w:rPr>
      <w:rFonts w:ascii="宋体" w:eastAsia="宋体" w:hAnsi="宋体" w:cs="宋体"/>
      <w:kern w:val="0"/>
    </w:rPr>
  </w:style>
  <w:style w:type="paragraph" w:customStyle="1" w:styleId="eventtags">
    <w:name w:val="event_tags"/>
    <w:basedOn w:val="a"/>
    <w:rsid w:val="006849FF"/>
    <w:pPr>
      <w:spacing w:before="100" w:beforeAutospacing="1" w:after="100" w:afterAutospacing="1" w:line="240" w:lineRule="auto"/>
      <w:jc w:val="left"/>
    </w:pPr>
    <w:rPr>
      <w:rFonts w:ascii="宋体" w:eastAsia="宋体" w:hAnsi="宋体" w:cs="宋体"/>
      <w:kern w:val="0"/>
    </w:rPr>
  </w:style>
  <w:style w:type="paragraph" w:customStyle="1" w:styleId="eventmessage">
    <w:name w:val="event_message"/>
    <w:basedOn w:val="a"/>
    <w:rsid w:val="006849FF"/>
    <w:pPr>
      <w:spacing w:before="100" w:beforeAutospacing="1" w:after="100" w:afterAutospacing="1" w:line="240" w:lineRule="auto"/>
      <w:jc w:val="left"/>
    </w:pPr>
    <w:rPr>
      <w:rFonts w:ascii="宋体" w:eastAsia="宋体" w:hAnsi="宋体" w:cs="宋体"/>
      <w:kern w:val="0"/>
    </w:rPr>
  </w:style>
  <w:style w:type="character" w:customStyle="1" w:styleId="map">
    <w:name w:val="map"/>
    <w:basedOn w:val="a0"/>
    <w:rsid w:val="006849FF"/>
  </w:style>
  <w:style w:type="character" w:customStyle="1" w:styleId="miconfont">
    <w:name w:val="m_iconfont"/>
    <w:basedOn w:val="a0"/>
    <w:rsid w:val="006849FF"/>
  </w:style>
  <w:style w:type="paragraph" w:customStyle="1" w:styleId="sharetext">
    <w:name w:val="share_text"/>
    <w:basedOn w:val="a"/>
    <w:rsid w:val="006849FF"/>
    <w:pPr>
      <w:spacing w:before="100" w:beforeAutospacing="1" w:after="100" w:afterAutospacing="1" w:line="240" w:lineRule="auto"/>
      <w:jc w:val="left"/>
    </w:pPr>
    <w:rPr>
      <w:rFonts w:ascii="宋体" w:eastAsia="宋体" w:hAnsi="宋体" w:cs="宋体"/>
      <w:kern w:val="0"/>
    </w:rPr>
  </w:style>
  <w:style w:type="character" w:styleId="ab">
    <w:name w:val="Strong"/>
    <w:basedOn w:val="a0"/>
    <w:uiPriority w:val="22"/>
    <w:qFormat/>
    <w:rsid w:val="006849FF"/>
    <w:rPr>
      <w:b/>
      <w:bCs/>
    </w:rPr>
  </w:style>
  <w:style w:type="paragraph" w:customStyle="1" w:styleId="EndNoteBibliography">
    <w:name w:val="EndNote Bibliography"/>
    <w:basedOn w:val="a"/>
    <w:link w:val="EndNoteBibliographyChar"/>
    <w:rsid w:val="008505F4"/>
    <w:pPr>
      <w:widowControl w:val="0"/>
      <w:spacing w:line="240" w:lineRule="auto"/>
    </w:pPr>
    <w:rPr>
      <w:rFonts w:ascii="Times New Roman" w:eastAsia="宋体" w:hAnsi="Times New Roman" w:cs="Times New Roman"/>
      <w:noProof/>
      <w:sz w:val="20"/>
      <w:szCs w:val="20"/>
    </w:rPr>
  </w:style>
  <w:style w:type="character" w:customStyle="1" w:styleId="EndNoteBibliographyChar">
    <w:name w:val="EndNote Bibliography Char"/>
    <w:link w:val="EndNoteBibliography"/>
    <w:rsid w:val="008505F4"/>
    <w:rPr>
      <w:rFonts w:ascii="Times New Roman" w:eastAsia="宋体" w:hAnsi="Times New Roman" w:cs="Times New Roman"/>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03818">
      <w:bodyDiv w:val="1"/>
      <w:marLeft w:val="0"/>
      <w:marRight w:val="0"/>
      <w:marTop w:val="0"/>
      <w:marBottom w:val="0"/>
      <w:divBdr>
        <w:top w:val="none" w:sz="0" w:space="0" w:color="auto"/>
        <w:left w:val="none" w:sz="0" w:space="0" w:color="auto"/>
        <w:bottom w:val="none" w:sz="0" w:space="0" w:color="auto"/>
        <w:right w:val="none" w:sz="0" w:space="0" w:color="auto"/>
      </w:divBdr>
    </w:div>
    <w:div w:id="42141455">
      <w:bodyDiv w:val="1"/>
      <w:marLeft w:val="0"/>
      <w:marRight w:val="0"/>
      <w:marTop w:val="0"/>
      <w:marBottom w:val="0"/>
      <w:divBdr>
        <w:top w:val="none" w:sz="0" w:space="0" w:color="auto"/>
        <w:left w:val="none" w:sz="0" w:space="0" w:color="auto"/>
        <w:bottom w:val="none" w:sz="0" w:space="0" w:color="auto"/>
        <w:right w:val="none" w:sz="0" w:space="0" w:color="auto"/>
      </w:divBdr>
    </w:div>
    <w:div w:id="64036183">
      <w:bodyDiv w:val="1"/>
      <w:marLeft w:val="0"/>
      <w:marRight w:val="0"/>
      <w:marTop w:val="0"/>
      <w:marBottom w:val="0"/>
      <w:divBdr>
        <w:top w:val="none" w:sz="0" w:space="0" w:color="auto"/>
        <w:left w:val="none" w:sz="0" w:space="0" w:color="auto"/>
        <w:bottom w:val="none" w:sz="0" w:space="0" w:color="auto"/>
        <w:right w:val="none" w:sz="0" w:space="0" w:color="auto"/>
      </w:divBdr>
    </w:div>
    <w:div w:id="142237822">
      <w:bodyDiv w:val="1"/>
      <w:marLeft w:val="0"/>
      <w:marRight w:val="0"/>
      <w:marTop w:val="0"/>
      <w:marBottom w:val="0"/>
      <w:divBdr>
        <w:top w:val="none" w:sz="0" w:space="0" w:color="auto"/>
        <w:left w:val="none" w:sz="0" w:space="0" w:color="auto"/>
        <w:bottom w:val="none" w:sz="0" w:space="0" w:color="auto"/>
        <w:right w:val="none" w:sz="0" w:space="0" w:color="auto"/>
      </w:divBdr>
    </w:div>
    <w:div w:id="218247963">
      <w:bodyDiv w:val="1"/>
      <w:marLeft w:val="0"/>
      <w:marRight w:val="0"/>
      <w:marTop w:val="0"/>
      <w:marBottom w:val="0"/>
      <w:divBdr>
        <w:top w:val="none" w:sz="0" w:space="0" w:color="auto"/>
        <w:left w:val="none" w:sz="0" w:space="0" w:color="auto"/>
        <w:bottom w:val="none" w:sz="0" w:space="0" w:color="auto"/>
        <w:right w:val="none" w:sz="0" w:space="0" w:color="auto"/>
      </w:divBdr>
    </w:div>
    <w:div w:id="290327102">
      <w:bodyDiv w:val="1"/>
      <w:marLeft w:val="0"/>
      <w:marRight w:val="0"/>
      <w:marTop w:val="0"/>
      <w:marBottom w:val="0"/>
      <w:divBdr>
        <w:top w:val="none" w:sz="0" w:space="0" w:color="auto"/>
        <w:left w:val="none" w:sz="0" w:space="0" w:color="auto"/>
        <w:bottom w:val="none" w:sz="0" w:space="0" w:color="auto"/>
        <w:right w:val="none" w:sz="0" w:space="0" w:color="auto"/>
      </w:divBdr>
    </w:div>
    <w:div w:id="371460687">
      <w:bodyDiv w:val="1"/>
      <w:marLeft w:val="0"/>
      <w:marRight w:val="0"/>
      <w:marTop w:val="0"/>
      <w:marBottom w:val="0"/>
      <w:divBdr>
        <w:top w:val="none" w:sz="0" w:space="0" w:color="auto"/>
        <w:left w:val="none" w:sz="0" w:space="0" w:color="auto"/>
        <w:bottom w:val="none" w:sz="0" w:space="0" w:color="auto"/>
        <w:right w:val="none" w:sz="0" w:space="0" w:color="auto"/>
      </w:divBdr>
    </w:div>
    <w:div w:id="502354145">
      <w:bodyDiv w:val="1"/>
      <w:marLeft w:val="0"/>
      <w:marRight w:val="0"/>
      <w:marTop w:val="0"/>
      <w:marBottom w:val="0"/>
      <w:divBdr>
        <w:top w:val="none" w:sz="0" w:space="0" w:color="auto"/>
        <w:left w:val="none" w:sz="0" w:space="0" w:color="auto"/>
        <w:bottom w:val="none" w:sz="0" w:space="0" w:color="auto"/>
        <w:right w:val="none" w:sz="0" w:space="0" w:color="auto"/>
      </w:divBdr>
    </w:div>
    <w:div w:id="509370272">
      <w:bodyDiv w:val="1"/>
      <w:marLeft w:val="0"/>
      <w:marRight w:val="0"/>
      <w:marTop w:val="0"/>
      <w:marBottom w:val="0"/>
      <w:divBdr>
        <w:top w:val="none" w:sz="0" w:space="0" w:color="auto"/>
        <w:left w:val="none" w:sz="0" w:space="0" w:color="auto"/>
        <w:bottom w:val="none" w:sz="0" w:space="0" w:color="auto"/>
        <w:right w:val="none" w:sz="0" w:space="0" w:color="auto"/>
      </w:divBdr>
    </w:div>
    <w:div w:id="553396189">
      <w:bodyDiv w:val="1"/>
      <w:marLeft w:val="0"/>
      <w:marRight w:val="0"/>
      <w:marTop w:val="0"/>
      <w:marBottom w:val="0"/>
      <w:divBdr>
        <w:top w:val="none" w:sz="0" w:space="0" w:color="auto"/>
        <w:left w:val="none" w:sz="0" w:space="0" w:color="auto"/>
        <w:bottom w:val="none" w:sz="0" w:space="0" w:color="auto"/>
        <w:right w:val="none" w:sz="0" w:space="0" w:color="auto"/>
      </w:divBdr>
    </w:div>
    <w:div w:id="565992186">
      <w:bodyDiv w:val="1"/>
      <w:marLeft w:val="0"/>
      <w:marRight w:val="0"/>
      <w:marTop w:val="0"/>
      <w:marBottom w:val="0"/>
      <w:divBdr>
        <w:top w:val="none" w:sz="0" w:space="0" w:color="auto"/>
        <w:left w:val="none" w:sz="0" w:space="0" w:color="auto"/>
        <w:bottom w:val="none" w:sz="0" w:space="0" w:color="auto"/>
        <w:right w:val="none" w:sz="0" w:space="0" w:color="auto"/>
      </w:divBdr>
    </w:div>
    <w:div w:id="595334497">
      <w:bodyDiv w:val="1"/>
      <w:marLeft w:val="0"/>
      <w:marRight w:val="0"/>
      <w:marTop w:val="0"/>
      <w:marBottom w:val="0"/>
      <w:divBdr>
        <w:top w:val="none" w:sz="0" w:space="0" w:color="auto"/>
        <w:left w:val="none" w:sz="0" w:space="0" w:color="auto"/>
        <w:bottom w:val="none" w:sz="0" w:space="0" w:color="auto"/>
        <w:right w:val="none" w:sz="0" w:space="0" w:color="auto"/>
      </w:divBdr>
    </w:div>
    <w:div w:id="623509579">
      <w:bodyDiv w:val="1"/>
      <w:marLeft w:val="0"/>
      <w:marRight w:val="0"/>
      <w:marTop w:val="0"/>
      <w:marBottom w:val="0"/>
      <w:divBdr>
        <w:top w:val="none" w:sz="0" w:space="0" w:color="auto"/>
        <w:left w:val="none" w:sz="0" w:space="0" w:color="auto"/>
        <w:bottom w:val="none" w:sz="0" w:space="0" w:color="auto"/>
        <w:right w:val="none" w:sz="0" w:space="0" w:color="auto"/>
      </w:divBdr>
    </w:div>
    <w:div w:id="662195847">
      <w:bodyDiv w:val="1"/>
      <w:marLeft w:val="0"/>
      <w:marRight w:val="0"/>
      <w:marTop w:val="0"/>
      <w:marBottom w:val="0"/>
      <w:divBdr>
        <w:top w:val="none" w:sz="0" w:space="0" w:color="auto"/>
        <w:left w:val="none" w:sz="0" w:space="0" w:color="auto"/>
        <w:bottom w:val="none" w:sz="0" w:space="0" w:color="auto"/>
        <w:right w:val="none" w:sz="0" w:space="0" w:color="auto"/>
      </w:divBdr>
    </w:div>
    <w:div w:id="686903373">
      <w:bodyDiv w:val="1"/>
      <w:marLeft w:val="0"/>
      <w:marRight w:val="0"/>
      <w:marTop w:val="0"/>
      <w:marBottom w:val="0"/>
      <w:divBdr>
        <w:top w:val="none" w:sz="0" w:space="0" w:color="auto"/>
        <w:left w:val="none" w:sz="0" w:space="0" w:color="auto"/>
        <w:bottom w:val="none" w:sz="0" w:space="0" w:color="auto"/>
        <w:right w:val="none" w:sz="0" w:space="0" w:color="auto"/>
      </w:divBdr>
    </w:div>
    <w:div w:id="695085719">
      <w:bodyDiv w:val="1"/>
      <w:marLeft w:val="0"/>
      <w:marRight w:val="0"/>
      <w:marTop w:val="0"/>
      <w:marBottom w:val="0"/>
      <w:divBdr>
        <w:top w:val="none" w:sz="0" w:space="0" w:color="auto"/>
        <w:left w:val="none" w:sz="0" w:space="0" w:color="auto"/>
        <w:bottom w:val="none" w:sz="0" w:space="0" w:color="auto"/>
        <w:right w:val="none" w:sz="0" w:space="0" w:color="auto"/>
      </w:divBdr>
    </w:div>
    <w:div w:id="744031266">
      <w:bodyDiv w:val="1"/>
      <w:marLeft w:val="0"/>
      <w:marRight w:val="0"/>
      <w:marTop w:val="0"/>
      <w:marBottom w:val="0"/>
      <w:divBdr>
        <w:top w:val="none" w:sz="0" w:space="0" w:color="auto"/>
        <w:left w:val="none" w:sz="0" w:space="0" w:color="auto"/>
        <w:bottom w:val="none" w:sz="0" w:space="0" w:color="auto"/>
        <w:right w:val="none" w:sz="0" w:space="0" w:color="auto"/>
      </w:divBdr>
    </w:div>
    <w:div w:id="769159425">
      <w:bodyDiv w:val="1"/>
      <w:marLeft w:val="0"/>
      <w:marRight w:val="0"/>
      <w:marTop w:val="0"/>
      <w:marBottom w:val="0"/>
      <w:divBdr>
        <w:top w:val="none" w:sz="0" w:space="0" w:color="auto"/>
        <w:left w:val="none" w:sz="0" w:space="0" w:color="auto"/>
        <w:bottom w:val="none" w:sz="0" w:space="0" w:color="auto"/>
        <w:right w:val="none" w:sz="0" w:space="0" w:color="auto"/>
      </w:divBdr>
    </w:div>
    <w:div w:id="776367987">
      <w:bodyDiv w:val="1"/>
      <w:marLeft w:val="0"/>
      <w:marRight w:val="0"/>
      <w:marTop w:val="0"/>
      <w:marBottom w:val="0"/>
      <w:divBdr>
        <w:top w:val="none" w:sz="0" w:space="0" w:color="auto"/>
        <w:left w:val="none" w:sz="0" w:space="0" w:color="auto"/>
        <w:bottom w:val="none" w:sz="0" w:space="0" w:color="auto"/>
        <w:right w:val="none" w:sz="0" w:space="0" w:color="auto"/>
      </w:divBdr>
    </w:div>
    <w:div w:id="843059306">
      <w:bodyDiv w:val="1"/>
      <w:marLeft w:val="0"/>
      <w:marRight w:val="0"/>
      <w:marTop w:val="0"/>
      <w:marBottom w:val="0"/>
      <w:divBdr>
        <w:top w:val="none" w:sz="0" w:space="0" w:color="auto"/>
        <w:left w:val="none" w:sz="0" w:space="0" w:color="auto"/>
        <w:bottom w:val="none" w:sz="0" w:space="0" w:color="auto"/>
        <w:right w:val="none" w:sz="0" w:space="0" w:color="auto"/>
      </w:divBdr>
    </w:div>
    <w:div w:id="1003899970">
      <w:bodyDiv w:val="1"/>
      <w:marLeft w:val="0"/>
      <w:marRight w:val="0"/>
      <w:marTop w:val="0"/>
      <w:marBottom w:val="0"/>
      <w:divBdr>
        <w:top w:val="none" w:sz="0" w:space="0" w:color="auto"/>
        <w:left w:val="none" w:sz="0" w:space="0" w:color="auto"/>
        <w:bottom w:val="none" w:sz="0" w:space="0" w:color="auto"/>
        <w:right w:val="none" w:sz="0" w:space="0" w:color="auto"/>
      </w:divBdr>
      <w:divsChild>
        <w:div w:id="1777820841">
          <w:marLeft w:val="0"/>
          <w:marRight w:val="0"/>
          <w:marTop w:val="0"/>
          <w:marBottom w:val="300"/>
          <w:divBdr>
            <w:top w:val="single" w:sz="6" w:space="11" w:color="E9E9F1"/>
            <w:left w:val="single" w:sz="6" w:space="0" w:color="E9E9F1"/>
            <w:bottom w:val="single" w:sz="6" w:space="11" w:color="E9E9F1"/>
            <w:right w:val="single" w:sz="6" w:space="0" w:color="E9E9F1"/>
          </w:divBdr>
          <w:divsChild>
            <w:div w:id="1357735570">
              <w:marLeft w:val="0"/>
              <w:marRight w:val="0"/>
              <w:marTop w:val="0"/>
              <w:marBottom w:val="0"/>
              <w:divBdr>
                <w:top w:val="none" w:sz="0" w:space="0" w:color="auto"/>
                <w:left w:val="none" w:sz="0" w:space="0" w:color="auto"/>
                <w:bottom w:val="none" w:sz="0" w:space="0" w:color="auto"/>
                <w:right w:val="none" w:sz="0" w:space="0" w:color="auto"/>
              </w:divBdr>
              <w:divsChild>
                <w:div w:id="218444215">
                  <w:marLeft w:val="0"/>
                  <w:marRight w:val="0"/>
                  <w:marTop w:val="0"/>
                  <w:marBottom w:val="0"/>
                  <w:divBdr>
                    <w:top w:val="none" w:sz="0" w:space="0" w:color="auto"/>
                    <w:left w:val="none" w:sz="0" w:space="0" w:color="auto"/>
                    <w:bottom w:val="none" w:sz="0" w:space="0" w:color="auto"/>
                    <w:right w:val="none" w:sz="0" w:space="0" w:color="auto"/>
                  </w:divBdr>
                  <w:divsChild>
                    <w:div w:id="469710348">
                      <w:marLeft w:val="0"/>
                      <w:marRight w:val="0"/>
                      <w:marTop w:val="0"/>
                      <w:marBottom w:val="0"/>
                      <w:divBdr>
                        <w:top w:val="none" w:sz="0" w:space="0" w:color="auto"/>
                        <w:left w:val="none" w:sz="0" w:space="0" w:color="auto"/>
                        <w:bottom w:val="none" w:sz="0" w:space="0" w:color="auto"/>
                        <w:right w:val="none" w:sz="0" w:space="0" w:color="auto"/>
                      </w:divBdr>
                      <w:divsChild>
                        <w:div w:id="163593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06498">
              <w:marLeft w:val="0"/>
              <w:marRight w:val="0"/>
              <w:marTop w:val="0"/>
              <w:marBottom w:val="0"/>
              <w:divBdr>
                <w:top w:val="none" w:sz="0" w:space="0" w:color="auto"/>
                <w:left w:val="none" w:sz="0" w:space="0" w:color="auto"/>
                <w:bottom w:val="none" w:sz="0" w:space="0" w:color="auto"/>
                <w:right w:val="none" w:sz="0" w:space="0" w:color="auto"/>
              </w:divBdr>
            </w:div>
            <w:div w:id="1723018342">
              <w:marLeft w:val="0"/>
              <w:marRight w:val="0"/>
              <w:marTop w:val="75"/>
              <w:marBottom w:val="0"/>
              <w:divBdr>
                <w:top w:val="none" w:sz="0" w:space="0" w:color="auto"/>
                <w:left w:val="none" w:sz="0" w:space="0" w:color="auto"/>
                <w:bottom w:val="none" w:sz="0" w:space="0" w:color="auto"/>
                <w:right w:val="none" w:sz="0" w:space="0" w:color="auto"/>
              </w:divBdr>
            </w:div>
          </w:divsChild>
        </w:div>
        <w:div w:id="1748072154">
          <w:marLeft w:val="0"/>
          <w:marRight w:val="0"/>
          <w:marTop w:val="0"/>
          <w:marBottom w:val="0"/>
          <w:divBdr>
            <w:top w:val="none" w:sz="0" w:space="0" w:color="auto"/>
            <w:left w:val="none" w:sz="0" w:space="0" w:color="auto"/>
            <w:bottom w:val="none" w:sz="0" w:space="0" w:color="auto"/>
            <w:right w:val="none" w:sz="0" w:space="0" w:color="auto"/>
          </w:divBdr>
          <w:divsChild>
            <w:div w:id="1081291338">
              <w:marLeft w:val="0"/>
              <w:marRight w:val="0"/>
              <w:marTop w:val="0"/>
              <w:marBottom w:val="0"/>
              <w:divBdr>
                <w:top w:val="none" w:sz="0" w:space="0" w:color="auto"/>
                <w:left w:val="none" w:sz="0" w:space="0" w:color="auto"/>
                <w:bottom w:val="none" w:sz="0" w:space="0" w:color="auto"/>
                <w:right w:val="none" w:sz="0" w:space="0" w:color="auto"/>
              </w:divBdr>
              <w:divsChild>
                <w:div w:id="845823542">
                  <w:marLeft w:val="0"/>
                  <w:marRight w:val="0"/>
                  <w:marTop w:val="0"/>
                  <w:marBottom w:val="225"/>
                  <w:divBdr>
                    <w:top w:val="single" w:sz="6" w:space="15" w:color="E9E8F0"/>
                    <w:left w:val="single" w:sz="6" w:space="15" w:color="E9E8F0"/>
                    <w:bottom w:val="single" w:sz="6" w:space="15" w:color="E9E8F0"/>
                    <w:right w:val="single" w:sz="6" w:space="15" w:color="E9E8F0"/>
                  </w:divBdr>
                  <w:divsChild>
                    <w:div w:id="220678775">
                      <w:marLeft w:val="0"/>
                      <w:marRight w:val="0"/>
                      <w:marTop w:val="0"/>
                      <w:marBottom w:val="0"/>
                      <w:divBdr>
                        <w:top w:val="none" w:sz="0" w:space="0" w:color="auto"/>
                        <w:left w:val="none" w:sz="0" w:space="0" w:color="auto"/>
                        <w:bottom w:val="none" w:sz="0" w:space="0" w:color="auto"/>
                        <w:right w:val="none" w:sz="0" w:space="0" w:color="auto"/>
                      </w:divBdr>
                    </w:div>
                    <w:div w:id="1055423274">
                      <w:marLeft w:val="0"/>
                      <w:marRight w:val="0"/>
                      <w:marTop w:val="0"/>
                      <w:marBottom w:val="0"/>
                      <w:divBdr>
                        <w:top w:val="none" w:sz="0" w:space="0" w:color="auto"/>
                        <w:left w:val="none" w:sz="0" w:space="0" w:color="auto"/>
                        <w:bottom w:val="none" w:sz="0" w:space="0" w:color="auto"/>
                        <w:right w:val="none" w:sz="0" w:space="0" w:color="auto"/>
                      </w:divBdr>
                      <w:divsChild>
                        <w:div w:id="1589920646">
                          <w:marLeft w:val="0"/>
                          <w:marRight w:val="0"/>
                          <w:marTop w:val="0"/>
                          <w:marBottom w:val="600"/>
                          <w:divBdr>
                            <w:top w:val="none" w:sz="0" w:space="0" w:color="auto"/>
                            <w:left w:val="none" w:sz="0" w:space="0" w:color="auto"/>
                            <w:bottom w:val="single" w:sz="6" w:space="0" w:color="D7D7D7"/>
                            <w:right w:val="none" w:sz="0" w:space="0" w:color="auto"/>
                          </w:divBdr>
                        </w:div>
                        <w:div w:id="201583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8190600">
      <w:bodyDiv w:val="1"/>
      <w:marLeft w:val="0"/>
      <w:marRight w:val="0"/>
      <w:marTop w:val="0"/>
      <w:marBottom w:val="0"/>
      <w:divBdr>
        <w:top w:val="none" w:sz="0" w:space="0" w:color="auto"/>
        <w:left w:val="none" w:sz="0" w:space="0" w:color="auto"/>
        <w:bottom w:val="none" w:sz="0" w:space="0" w:color="auto"/>
        <w:right w:val="none" w:sz="0" w:space="0" w:color="auto"/>
      </w:divBdr>
    </w:div>
    <w:div w:id="1062143918">
      <w:bodyDiv w:val="1"/>
      <w:marLeft w:val="0"/>
      <w:marRight w:val="0"/>
      <w:marTop w:val="0"/>
      <w:marBottom w:val="0"/>
      <w:divBdr>
        <w:top w:val="none" w:sz="0" w:space="0" w:color="auto"/>
        <w:left w:val="none" w:sz="0" w:space="0" w:color="auto"/>
        <w:bottom w:val="none" w:sz="0" w:space="0" w:color="auto"/>
        <w:right w:val="none" w:sz="0" w:space="0" w:color="auto"/>
      </w:divBdr>
    </w:div>
    <w:div w:id="1080130128">
      <w:bodyDiv w:val="1"/>
      <w:marLeft w:val="0"/>
      <w:marRight w:val="0"/>
      <w:marTop w:val="0"/>
      <w:marBottom w:val="0"/>
      <w:divBdr>
        <w:top w:val="none" w:sz="0" w:space="0" w:color="auto"/>
        <w:left w:val="none" w:sz="0" w:space="0" w:color="auto"/>
        <w:bottom w:val="none" w:sz="0" w:space="0" w:color="auto"/>
        <w:right w:val="none" w:sz="0" w:space="0" w:color="auto"/>
      </w:divBdr>
    </w:div>
    <w:div w:id="1097602892">
      <w:bodyDiv w:val="1"/>
      <w:marLeft w:val="0"/>
      <w:marRight w:val="0"/>
      <w:marTop w:val="0"/>
      <w:marBottom w:val="0"/>
      <w:divBdr>
        <w:top w:val="none" w:sz="0" w:space="0" w:color="auto"/>
        <w:left w:val="none" w:sz="0" w:space="0" w:color="auto"/>
        <w:bottom w:val="none" w:sz="0" w:space="0" w:color="auto"/>
        <w:right w:val="none" w:sz="0" w:space="0" w:color="auto"/>
      </w:divBdr>
    </w:div>
    <w:div w:id="1100299248">
      <w:bodyDiv w:val="1"/>
      <w:marLeft w:val="0"/>
      <w:marRight w:val="0"/>
      <w:marTop w:val="0"/>
      <w:marBottom w:val="0"/>
      <w:divBdr>
        <w:top w:val="none" w:sz="0" w:space="0" w:color="auto"/>
        <w:left w:val="none" w:sz="0" w:space="0" w:color="auto"/>
        <w:bottom w:val="none" w:sz="0" w:space="0" w:color="auto"/>
        <w:right w:val="none" w:sz="0" w:space="0" w:color="auto"/>
      </w:divBdr>
    </w:div>
    <w:div w:id="1196194591">
      <w:bodyDiv w:val="1"/>
      <w:marLeft w:val="0"/>
      <w:marRight w:val="0"/>
      <w:marTop w:val="0"/>
      <w:marBottom w:val="0"/>
      <w:divBdr>
        <w:top w:val="none" w:sz="0" w:space="0" w:color="auto"/>
        <w:left w:val="none" w:sz="0" w:space="0" w:color="auto"/>
        <w:bottom w:val="none" w:sz="0" w:space="0" w:color="auto"/>
        <w:right w:val="none" w:sz="0" w:space="0" w:color="auto"/>
      </w:divBdr>
    </w:div>
    <w:div w:id="1207596254">
      <w:bodyDiv w:val="1"/>
      <w:marLeft w:val="0"/>
      <w:marRight w:val="0"/>
      <w:marTop w:val="0"/>
      <w:marBottom w:val="0"/>
      <w:divBdr>
        <w:top w:val="none" w:sz="0" w:space="0" w:color="auto"/>
        <w:left w:val="none" w:sz="0" w:space="0" w:color="auto"/>
        <w:bottom w:val="none" w:sz="0" w:space="0" w:color="auto"/>
        <w:right w:val="none" w:sz="0" w:space="0" w:color="auto"/>
      </w:divBdr>
    </w:div>
    <w:div w:id="1235704563">
      <w:bodyDiv w:val="1"/>
      <w:marLeft w:val="0"/>
      <w:marRight w:val="0"/>
      <w:marTop w:val="0"/>
      <w:marBottom w:val="0"/>
      <w:divBdr>
        <w:top w:val="none" w:sz="0" w:space="0" w:color="auto"/>
        <w:left w:val="none" w:sz="0" w:space="0" w:color="auto"/>
        <w:bottom w:val="none" w:sz="0" w:space="0" w:color="auto"/>
        <w:right w:val="none" w:sz="0" w:space="0" w:color="auto"/>
      </w:divBdr>
    </w:div>
    <w:div w:id="1256330553">
      <w:bodyDiv w:val="1"/>
      <w:marLeft w:val="0"/>
      <w:marRight w:val="0"/>
      <w:marTop w:val="0"/>
      <w:marBottom w:val="0"/>
      <w:divBdr>
        <w:top w:val="none" w:sz="0" w:space="0" w:color="auto"/>
        <w:left w:val="none" w:sz="0" w:space="0" w:color="auto"/>
        <w:bottom w:val="none" w:sz="0" w:space="0" w:color="auto"/>
        <w:right w:val="none" w:sz="0" w:space="0" w:color="auto"/>
      </w:divBdr>
    </w:div>
    <w:div w:id="1342780757">
      <w:bodyDiv w:val="1"/>
      <w:marLeft w:val="0"/>
      <w:marRight w:val="0"/>
      <w:marTop w:val="0"/>
      <w:marBottom w:val="0"/>
      <w:divBdr>
        <w:top w:val="none" w:sz="0" w:space="0" w:color="auto"/>
        <w:left w:val="none" w:sz="0" w:space="0" w:color="auto"/>
        <w:bottom w:val="none" w:sz="0" w:space="0" w:color="auto"/>
        <w:right w:val="none" w:sz="0" w:space="0" w:color="auto"/>
      </w:divBdr>
    </w:div>
    <w:div w:id="1385181924">
      <w:bodyDiv w:val="1"/>
      <w:marLeft w:val="0"/>
      <w:marRight w:val="0"/>
      <w:marTop w:val="0"/>
      <w:marBottom w:val="0"/>
      <w:divBdr>
        <w:top w:val="none" w:sz="0" w:space="0" w:color="auto"/>
        <w:left w:val="none" w:sz="0" w:space="0" w:color="auto"/>
        <w:bottom w:val="none" w:sz="0" w:space="0" w:color="auto"/>
        <w:right w:val="none" w:sz="0" w:space="0" w:color="auto"/>
      </w:divBdr>
    </w:div>
    <w:div w:id="1387802052">
      <w:bodyDiv w:val="1"/>
      <w:marLeft w:val="0"/>
      <w:marRight w:val="0"/>
      <w:marTop w:val="0"/>
      <w:marBottom w:val="0"/>
      <w:divBdr>
        <w:top w:val="none" w:sz="0" w:space="0" w:color="auto"/>
        <w:left w:val="none" w:sz="0" w:space="0" w:color="auto"/>
        <w:bottom w:val="none" w:sz="0" w:space="0" w:color="auto"/>
        <w:right w:val="none" w:sz="0" w:space="0" w:color="auto"/>
      </w:divBdr>
    </w:div>
    <w:div w:id="1404596863">
      <w:bodyDiv w:val="1"/>
      <w:marLeft w:val="0"/>
      <w:marRight w:val="0"/>
      <w:marTop w:val="0"/>
      <w:marBottom w:val="0"/>
      <w:divBdr>
        <w:top w:val="none" w:sz="0" w:space="0" w:color="auto"/>
        <w:left w:val="none" w:sz="0" w:space="0" w:color="auto"/>
        <w:bottom w:val="none" w:sz="0" w:space="0" w:color="auto"/>
        <w:right w:val="none" w:sz="0" w:space="0" w:color="auto"/>
      </w:divBdr>
    </w:div>
    <w:div w:id="1457290709">
      <w:bodyDiv w:val="1"/>
      <w:marLeft w:val="0"/>
      <w:marRight w:val="0"/>
      <w:marTop w:val="0"/>
      <w:marBottom w:val="0"/>
      <w:divBdr>
        <w:top w:val="none" w:sz="0" w:space="0" w:color="auto"/>
        <w:left w:val="none" w:sz="0" w:space="0" w:color="auto"/>
        <w:bottom w:val="none" w:sz="0" w:space="0" w:color="auto"/>
        <w:right w:val="none" w:sz="0" w:space="0" w:color="auto"/>
      </w:divBdr>
    </w:div>
    <w:div w:id="1468668074">
      <w:bodyDiv w:val="1"/>
      <w:marLeft w:val="0"/>
      <w:marRight w:val="0"/>
      <w:marTop w:val="0"/>
      <w:marBottom w:val="0"/>
      <w:divBdr>
        <w:top w:val="none" w:sz="0" w:space="0" w:color="auto"/>
        <w:left w:val="none" w:sz="0" w:space="0" w:color="auto"/>
        <w:bottom w:val="none" w:sz="0" w:space="0" w:color="auto"/>
        <w:right w:val="none" w:sz="0" w:space="0" w:color="auto"/>
      </w:divBdr>
    </w:div>
    <w:div w:id="1478566839">
      <w:bodyDiv w:val="1"/>
      <w:marLeft w:val="0"/>
      <w:marRight w:val="0"/>
      <w:marTop w:val="0"/>
      <w:marBottom w:val="0"/>
      <w:divBdr>
        <w:top w:val="none" w:sz="0" w:space="0" w:color="auto"/>
        <w:left w:val="none" w:sz="0" w:space="0" w:color="auto"/>
        <w:bottom w:val="none" w:sz="0" w:space="0" w:color="auto"/>
        <w:right w:val="none" w:sz="0" w:space="0" w:color="auto"/>
      </w:divBdr>
    </w:div>
    <w:div w:id="1480266199">
      <w:bodyDiv w:val="1"/>
      <w:marLeft w:val="0"/>
      <w:marRight w:val="0"/>
      <w:marTop w:val="0"/>
      <w:marBottom w:val="0"/>
      <w:divBdr>
        <w:top w:val="none" w:sz="0" w:space="0" w:color="auto"/>
        <w:left w:val="none" w:sz="0" w:space="0" w:color="auto"/>
        <w:bottom w:val="none" w:sz="0" w:space="0" w:color="auto"/>
        <w:right w:val="none" w:sz="0" w:space="0" w:color="auto"/>
      </w:divBdr>
    </w:div>
    <w:div w:id="1602638576">
      <w:bodyDiv w:val="1"/>
      <w:marLeft w:val="0"/>
      <w:marRight w:val="0"/>
      <w:marTop w:val="0"/>
      <w:marBottom w:val="0"/>
      <w:divBdr>
        <w:top w:val="none" w:sz="0" w:space="0" w:color="auto"/>
        <w:left w:val="none" w:sz="0" w:space="0" w:color="auto"/>
        <w:bottom w:val="none" w:sz="0" w:space="0" w:color="auto"/>
        <w:right w:val="none" w:sz="0" w:space="0" w:color="auto"/>
      </w:divBdr>
    </w:div>
    <w:div w:id="1652712689">
      <w:bodyDiv w:val="1"/>
      <w:marLeft w:val="0"/>
      <w:marRight w:val="0"/>
      <w:marTop w:val="0"/>
      <w:marBottom w:val="0"/>
      <w:divBdr>
        <w:top w:val="none" w:sz="0" w:space="0" w:color="auto"/>
        <w:left w:val="none" w:sz="0" w:space="0" w:color="auto"/>
        <w:bottom w:val="none" w:sz="0" w:space="0" w:color="auto"/>
        <w:right w:val="none" w:sz="0" w:space="0" w:color="auto"/>
      </w:divBdr>
    </w:div>
    <w:div w:id="1691177851">
      <w:bodyDiv w:val="1"/>
      <w:marLeft w:val="0"/>
      <w:marRight w:val="0"/>
      <w:marTop w:val="0"/>
      <w:marBottom w:val="0"/>
      <w:divBdr>
        <w:top w:val="none" w:sz="0" w:space="0" w:color="auto"/>
        <w:left w:val="none" w:sz="0" w:space="0" w:color="auto"/>
        <w:bottom w:val="none" w:sz="0" w:space="0" w:color="auto"/>
        <w:right w:val="none" w:sz="0" w:space="0" w:color="auto"/>
      </w:divBdr>
    </w:div>
    <w:div w:id="1727223697">
      <w:bodyDiv w:val="1"/>
      <w:marLeft w:val="0"/>
      <w:marRight w:val="0"/>
      <w:marTop w:val="0"/>
      <w:marBottom w:val="0"/>
      <w:divBdr>
        <w:top w:val="none" w:sz="0" w:space="0" w:color="auto"/>
        <w:left w:val="none" w:sz="0" w:space="0" w:color="auto"/>
        <w:bottom w:val="none" w:sz="0" w:space="0" w:color="auto"/>
        <w:right w:val="none" w:sz="0" w:space="0" w:color="auto"/>
      </w:divBdr>
    </w:div>
    <w:div w:id="1746143112">
      <w:bodyDiv w:val="1"/>
      <w:marLeft w:val="0"/>
      <w:marRight w:val="0"/>
      <w:marTop w:val="0"/>
      <w:marBottom w:val="0"/>
      <w:divBdr>
        <w:top w:val="none" w:sz="0" w:space="0" w:color="auto"/>
        <w:left w:val="none" w:sz="0" w:space="0" w:color="auto"/>
        <w:bottom w:val="none" w:sz="0" w:space="0" w:color="auto"/>
        <w:right w:val="none" w:sz="0" w:space="0" w:color="auto"/>
      </w:divBdr>
    </w:div>
    <w:div w:id="1786266230">
      <w:bodyDiv w:val="1"/>
      <w:marLeft w:val="0"/>
      <w:marRight w:val="0"/>
      <w:marTop w:val="0"/>
      <w:marBottom w:val="0"/>
      <w:divBdr>
        <w:top w:val="none" w:sz="0" w:space="0" w:color="auto"/>
        <w:left w:val="none" w:sz="0" w:space="0" w:color="auto"/>
        <w:bottom w:val="none" w:sz="0" w:space="0" w:color="auto"/>
        <w:right w:val="none" w:sz="0" w:space="0" w:color="auto"/>
      </w:divBdr>
    </w:div>
    <w:div w:id="1834566643">
      <w:bodyDiv w:val="1"/>
      <w:marLeft w:val="0"/>
      <w:marRight w:val="0"/>
      <w:marTop w:val="0"/>
      <w:marBottom w:val="0"/>
      <w:divBdr>
        <w:top w:val="none" w:sz="0" w:space="0" w:color="auto"/>
        <w:left w:val="none" w:sz="0" w:space="0" w:color="auto"/>
        <w:bottom w:val="none" w:sz="0" w:space="0" w:color="auto"/>
        <w:right w:val="none" w:sz="0" w:space="0" w:color="auto"/>
      </w:divBdr>
    </w:div>
    <w:div w:id="1959680989">
      <w:bodyDiv w:val="1"/>
      <w:marLeft w:val="0"/>
      <w:marRight w:val="0"/>
      <w:marTop w:val="0"/>
      <w:marBottom w:val="0"/>
      <w:divBdr>
        <w:top w:val="none" w:sz="0" w:space="0" w:color="auto"/>
        <w:left w:val="none" w:sz="0" w:space="0" w:color="auto"/>
        <w:bottom w:val="none" w:sz="0" w:space="0" w:color="auto"/>
        <w:right w:val="none" w:sz="0" w:space="0" w:color="auto"/>
      </w:divBdr>
    </w:div>
    <w:div w:id="2012905103">
      <w:bodyDiv w:val="1"/>
      <w:marLeft w:val="0"/>
      <w:marRight w:val="0"/>
      <w:marTop w:val="0"/>
      <w:marBottom w:val="0"/>
      <w:divBdr>
        <w:top w:val="none" w:sz="0" w:space="0" w:color="auto"/>
        <w:left w:val="none" w:sz="0" w:space="0" w:color="auto"/>
        <w:bottom w:val="none" w:sz="0" w:space="0" w:color="auto"/>
        <w:right w:val="none" w:sz="0" w:space="0" w:color="auto"/>
      </w:divBdr>
    </w:div>
    <w:div w:id="2058505239">
      <w:bodyDiv w:val="1"/>
      <w:marLeft w:val="0"/>
      <w:marRight w:val="0"/>
      <w:marTop w:val="0"/>
      <w:marBottom w:val="0"/>
      <w:divBdr>
        <w:top w:val="none" w:sz="0" w:space="0" w:color="auto"/>
        <w:left w:val="none" w:sz="0" w:space="0" w:color="auto"/>
        <w:bottom w:val="none" w:sz="0" w:space="0" w:color="auto"/>
        <w:right w:val="none" w:sz="0" w:space="0" w:color="auto"/>
      </w:divBdr>
    </w:div>
    <w:div w:id="2071268881">
      <w:bodyDiv w:val="1"/>
      <w:marLeft w:val="0"/>
      <w:marRight w:val="0"/>
      <w:marTop w:val="0"/>
      <w:marBottom w:val="0"/>
      <w:divBdr>
        <w:top w:val="none" w:sz="0" w:space="0" w:color="auto"/>
        <w:left w:val="none" w:sz="0" w:space="0" w:color="auto"/>
        <w:bottom w:val="none" w:sz="0" w:space="0" w:color="auto"/>
        <w:right w:val="none" w:sz="0" w:space="0" w:color="auto"/>
      </w:divBdr>
    </w:div>
    <w:div w:id="2082368251">
      <w:bodyDiv w:val="1"/>
      <w:marLeft w:val="0"/>
      <w:marRight w:val="0"/>
      <w:marTop w:val="0"/>
      <w:marBottom w:val="0"/>
      <w:divBdr>
        <w:top w:val="none" w:sz="0" w:space="0" w:color="auto"/>
        <w:left w:val="none" w:sz="0" w:space="0" w:color="auto"/>
        <w:bottom w:val="none" w:sz="0" w:space="0" w:color="auto"/>
        <w:right w:val="none" w:sz="0" w:space="0" w:color="auto"/>
      </w:divBdr>
    </w:div>
    <w:div w:id="211670845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06B601-1D2C-4C7A-902A-56D49A97B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9</Pages>
  <Words>4332</Words>
  <Characters>24699</Characters>
  <Application>Microsoft Office Word</Application>
  <DocSecurity>0</DocSecurity>
  <Lines>205</Lines>
  <Paragraphs>57</Paragraphs>
  <ScaleCrop>false</ScaleCrop>
  <Company>http:/sdwm.org</Company>
  <LinksUpToDate>false</LinksUpToDate>
  <CharactersWithSpaces>28974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 lilong</dc:creator>
  <cp:lastModifiedBy>Wilson</cp:lastModifiedBy>
  <cp:revision>39</cp:revision>
  <dcterms:created xsi:type="dcterms:W3CDTF">2016-02-19T17:00:00Z</dcterms:created>
  <dcterms:modified xsi:type="dcterms:W3CDTF">2016-02-29T10:15:00Z</dcterms:modified>
</cp:coreProperties>
</file>