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79B" w:rsidRDefault="0044479B" w:rsidP="00735AE7">
      <w:pPr>
        <w:jc w:val="center"/>
      </w:pPr>
      <w:r>
        <w:rPr>
          <w:rFonts w:hint="eastAsia"/>
        </w:rPr>
        <w:t>阻塞性睡眠呼吸暂停综合征患者血栓形成前状态分子与颈动脉内膜中层厚度关系</w:t>
      </w:r>
    </w:p>
    <w:p w:rsidR="0044479B" w:rsidRPr="0000585A" w:rsidRDefault="0044479B" w:rsidP="00DF51DB">
      <w:pPr>
        <w:ind w:firstLineChars="650" w:firstLine="31680"/>
        <w:rPr>
          <w:sz w:val="18"/>
          <w:szCs w:val="18"/>
        </w:rPr>
      </w:pPr>
      <w:r w:rsidRPr="0000585A">
        <w:rPr>
          <w:rFonts w:hint="eastAsia"/>
          <w:sz w:val="18"/>
          <w:szCs w:val="18"/>
        </w:rPr>
        <w:t>深圳市龙岗区人民医院</w:t>
      </w:r>
      <w:r>
        <w:rPr>
          <w:sz w:val="18"/>
          <w:szCs w:val="18"/>
        </w:rPr>
        <w:t xml:space="preserve"> </w:t>
      </w:r>
      <w:r w:rsidRPr="0000585A">
        <w:rPr>
          <w:rFonts w:hint="eastAsia"/>
          <w:sz w:val="18"/>
          <w:szCs w:val="18"/>
        </w:rPr>
        <w:t>余坤城</w:t>
      </w:r>
      <w:r>
        <w:rPr>
          <w:sz w:val="18"/>
          <w:szCs w:val="18"/>
        </w:rPr>
        <w:t xml:space="preserve"> </w:t>
      </w:r>
      <w:r w:rsidRPr="0000585A">
        <w:rPr>
          <w:rFonts w:hint="eastAsia"/>
          <w:sz w:val="18"/>
          <w:szCs w:val="18"/>
        </w:rPr>
        <w:t>谢江霞</w:t>
      </w:r>
      <w:r>
        <w:rPr>
          <w:rFonts w:ascii="宋体" w:hAnsi="宋体" w:hint="eastAsia"/>
          <w:sz w:val="18"/>
          <w:szCs w:val="18"/>
          <w:vertAlign w:val="superscript"/>
        </w:rPr>
        <w:t>※</w:t>
      </w:r>
      <w:r>
        <w:rPr>
          <w:sz w:val="18"/>
          <w:szCs w:val="18"/>
        </w:rPr>
        <w:t xml:space="preserve"> </w:t>
      </w:r>
      <w:r w:rsidRPr="0000585A">
        <w:rPr>
          <w:rFonts w:hint="eastAsia"/>
          <w:sz w:val="18"/>
          <w:szCs w:val="18"/>
        </w:rPr>
        <w:t>阳书坤</w:t>
      </w:r>
      <w:r>
        <w:rPr>
          <w:sz w:val="18"/>
          <w:szCs w:val="18"/>
          <w:vertAlign w:val="superscript"/>
        </w:rPr>
        <w:t xml:space="preserve"> </w:t>
      </w:r>
      <w:r w:rsidRPr="0000585A">
        <w:rPr>
          <w:sz w:val="18"/>
          <w:szCs w:val="18"/>
        </w:rPr>
        <w:t xml:space="preserve"> </w:t>
      </w:r>
      <w:r w:rsidRPr="0000585A">
        <w:rPr>
          <w:rFonts w:hint="eastAsia"/>
          <w:sz w:val="18"/>
          <w:szCs w:val="18"/>
        </w:rPr>
        <w:t>张晓瑜，深圳</w:t>
      </w:r>
      <w:r w:rsidRPr="0000585A">
        <w:rPr>
          <w:sz w:val="18"/>
          <w:szCs w:val="18"/>
        </w:rPr>
        <w:t>518172</w:t>
      </w:r>
    </w:p>
    <w:p w:rsidR="0044479B" w:rsidRDefault="0044479B" w:rsidP="00735AE7">
      <w:pPr>
        <w:jc w:val="center"/>
      </w:pPr>
    </w:p>
    <w:p w:rsidR="0044479B" w:rsidRDefault="0044479B" w:rsidP="00DF51DB">
      <w:pPr>
        <w:ind w:firstLineChars="200" w:firstLine="31680"/>
        <w:jc w:val="left"/>
        <w:rPr>
          <w:rFonts w:ascii="Times New Roman"/>
          <w:szCs w:val="21"/>
        </w:rPr>
      </w:pPr>
      <w:r w:rsidRPr="006632C9">
        <w:rPr>
          <w:rFonts w:hint="eastAsia"/>
          <w:b/>
        </w:rPr>
        <w:t>摘要</w:t>
      </w:r>
      <w:r>
        <w:t xml:space="preserve"> </w:t>
      </w:r>
      <w:r w:rsidRPr="0000585A">
        <w:rPr>
          <w:rFonts w:hint="eastAsia"/>
        </w:rPr>
        <w:t>目的：</w:t>
      </w:r>
      <w:r w:rsidRPr="0000585A">
        <w:t xml:space="preserve"> </w:t>
      </w:r>
      <w:r>
        <w:rPr>
          <w:rFonts w:hint="eastAsia"/>
        </w:rPr>
        <w:t>探讨阻塞性睡眠呼吸暂停低通气综合征（</w:t>
      </w:r>
      <w:r>
        <w:t>OSAHS</w:t>
      </w:r>
      <w:r>
        <w:rPr>
          <w:rFonts w:hint="eastAsia"/>
        </w:rPr>
        <w:t>）患者血栓形成前状态（</w:t>
      </w:r>
      <w:r>
        <w:t>PTS</w:t>
      </w:r>
      <w:r>
        <w:rPr>
          <w:rFonts w:hint="eastAsia"/>
        </w:rPr>
        <w:t>）分子标志物与颈动脉内膜中层厚度关系。</w:t>
      </w:r>
      <w:r w:rsidRPr="0000585A">
        <w:rPr>
          <w:rFonts w:hint="eastAsia"/>
        </w:rPr>
        <w:t>方法：</w:t>
      </w:r>
      <w:r>
        <w:t xml:space="preserve"> </w:t>
      </w:r>
      <w:r>
        <w:rPr>
          <w:rFonts w:hint="eastAsia"/>
        </w:rPr>
        <w:t>选择</w:t>
      </w:r>
      <w:r>
        <w:t>OSAHS</w:t>
      </w:r>
      <w:r>
        <w:rPr>
          <w:rFonts w:hint="eastAsia"/>
        </w:rPr>
        <w:t>患者</w:t>
      </w:r>
      <w:r>
        <w:t>56</w:t>
      </w:r>
      <w:r>
        <w:rPr>
          <w:rFonts w:hint="eastAsia"/>
        </w:rPr>
        <w:t>例和对照组</w:t>
      </w:r>
      <w:r>
        <w:t>28</w:t>
      </w:r>
      <w:r>
        <w:rPr>
          <w:rFonts w:hint="eastAsia"/>
        </w:rPr>
        <w:t>例，</w:t>
      </w:r>
      <w:r>
        <w:rPr>
          <w:rFonts w:ascii="Times New Roman" w:hint="eastAsia"/>
          <w:szCs w:val="21"/>
        </w:rPr>
        <w:t>采用酶联免疫吸附法测定血清</w:t>
      </w:r>
      <w:r>
        <w:rPr>
          <w:rFonts w:hint="eastAsia"/>
        </w:rPr>
        <w:t>血小板颗粒膜蛋白</w:t>
      </w:r>
      <w:r>
        <w:t>-140</w:t>
      </w:r>
      <w:r>
        <w:rPr>
          <w:rFonts w:hint="eastAsia"/>
        </w:rPr>
        <w:t>（</w:t>
      </w:r>
      <w:r>
        <w:rPr>
          <w:rFonts w:ascii="Times New Roman" w:hAnsi="Times New Roman"/>
          <w:szCs w:val="21"/>
        </w:rPr>
        <w:t>GMP-140</w:t>
      </w:r>
      <w:r>
        <w:rPr>
          <w:rFonts w:ascii="Times New Roman" w:hAnsi="Times New Roman" w:hint="eastAsia"/>
          <w:szCs w:val="21"/>
        </w:rPr>
        <w:t>）、</w:t>
      </w:r>
      <w:r>
        <w:rPr>
          <w:rFonts w:hint="eastAsia"/>
        </w:rPr>
        <w:t>血管性血友病因子（</w:t>
      </w:r>
      <w:r>
        <w:rPr>
          <w:rFonts w:ascii="Times New Roman" w:hAnsi="Times New Roman"/>
          <w:szCs w:val="21"/>
        </w:rPr>
        <w:t>vWF</w:t>
      </w:r>
      <w:r>
        <w:rPr>
          <w:rFonts w:ascii="Times New Roman" w:hAnsi="Times New Roman" w:hint="eastAsia"/>
          <w:szCs w:val="21"/>
        </w:rPr>
        <w:t>）和</w:t>
      </w:r>
      <w:r>
        <w:rPr>
          <w:rFonts w:hint="eastAsia"/>
        </w:rPr>
        <w:t>抗凝血酶</w:t>
      </w:r>
      <w:r w:rsidRPr="00A31A63">
        <w:rPr>
          <w:rFonts w:hint="eastAsia"/>
        </w:rPr>
        <w:t>Ⅲ</w:t>
      </w:r>
      <w:r>
        <w:rPr>
          <w:rFonts w:hint="eastAsia"/>
        </w:rPr>
        <w:t>（</w:t>
      </w:r>
      <w:r w:rsidRPr="00A31A63">
        <w:t>AT</w:t>
      </w:r>
      <w:r w:rsidRPr="00A31A63">
        <w:rPr>
          <w:rFonts w:hint="eastAsia"/>
        </w:rPr>
        <w:t>Ⅲ</w:t>
      </w:r>
      <w:r>
        <w:rPr>
          <w:rFonts w:hint="eastAsia"/>
        </w:rPr>
        <w:t>）</w:t>
      </w:r>
      <w:r>
        <w:rPr>
          <w:rFonts w:ascii="Times New Roman" w:hint="eastAsia"/>
          <w:szCs w:val="21"/>
        </w:rPr>
        <w:t>水平，采用底物发光法测定</w:t>
      </w:r>
      <w:r>
        <w:rPr>
          <w:rFonts w:hint="eastAsia"/>
        </w:rPr>
        <w:t>组织型纤溶酶原激活剂（</w:t>
      </w:r>
      <w:r>
        <w:rPr>
          <w:rFonts w:ascii="Times New Roman"/>
          <w:szCs w:val="21"/>
        </w:rPr>
        <w:t>t-PA</w:t>
      </w:r>
      <w:r>
        <w:rPr>
          <w:rFonts w:ascii="Times New Roman" w:hint="eastAsia"/>
          <w:szCs w:val="21"/>
        </w:rPr>
        <w:t>）和</w:t>
      </w:r>
      <w:r>
        <w:rPr>
          <w:rFonts w:hint="eastAsia"/>
        </w:rPr>
        <w:t>血浆纤溶酶原激活物抑制剂</w:t>
      </w:r>
      <w:r>
        <w:t>1</w:t>
      </w:r>
      <w:r>
        <w:rPr>
          <w:rFonts w:hint="eastAsia"/>
        </w:rPr>
        <w:t>（</w:t>
      </w:r>
      <w:r>
        <w:rPr>
          <w:rFonts w:ascii="Times New Roman"/>
          <w:szCs w:val="21"/>
        </w:rPr>
        <w:t>PAI-1</w:t>
      </w:r>
      <w:r>
        <w:rPr>
          <w:rFonts w:ascii="Times New Roman" w:hint="eastAsia"/>
          <w:szCs w:val="21"/>
        </w:rPr>
        <w:t>）水平；使用彩色多普勒超声检测颈动脉内膜中层厚度（</w:t>
      </w:r>
      <w:r>
        <w:rPr>
          <w:rFonts w:ascii="Times New Roman"/>
          <w:szCs w:val="21"/>
        </w:rPr>
        <w:t>IMT</w:t>
      </w:r>
      <w:r>
        <w:rPr>
          <w:rFonts w:ascii="Times New Roman" w:hint="eastAsia"/>
          <w:szCs w:val="21"/>
        </w:rPr>
        <w:t>）。</w:t>
      </w:r>
      <w:r w:rsidRPr="0000585A">
        <w:rPr>
          <w:rFonts w:ascii="Times New Roman" w:hint="eastAsia"/>
          <w:szCs w:val="21"/>
        </w:rPr>
        <w:t>结果：</w:t>
      </w:r>
      <w:r>
        <w:rPr>
          <w:rFonts w:ascii="Times New Roman"/>
          <w:szCs w:val="21"/>
        </w:rPr>
        <w:t>OSAHS</w:t>
      </w:r>
      <w:r>
        <w:rPr>
          <w:rFonts w:ascii="Times New Roman" w:hint="eastAsia"/>
          <w:szCs w:val="21"/>
        </w:rPr>
        <w:t>组血清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rPr>
          <w:rFonts w:ascii="Times New Roman"/>
          <w:szCs w:val="21"/>
        </w:rPr>
        <w:t>Fbg</w:t>
      </w:r>
      <w:r>
        <w:rPr>
          <w:rFonts w:ascii="Times New Roman" w:hint="eastAsia"/>
          <w:szCs w:val="21"/>
        </w:rPr>
        <w:t>、</w:t>
      </w:r>
      <w:r>
        <w:rPr>
          <w:rFonts w:ascii="Times New Roman"/>
          <w:szCs w:val="21"/>
        </w:rPr>
        <w:t>PAI-1</w:t>
      </w:r>
      <w:r>
        <w:rPr>
          <w:rFonts w:ascii="Times New Roman" w:hint="eastAsia"/>
          <w:szCs w:val="21"/>
        </w:rPr>
        <w:t>水平高于对照组，血清</w:t>
      </w:r>
      <w:r>
        <w:rPr>
          <w:rFonts w:ascii="Times New Roman"/>
          <w:szCs w:val="21"/>
        </w:rPr>
        <w:t>AT</w:t>
      </w:r>
      <w:r w:rsidRPr="00A31A63">
        <w:rPr>
          <w:rFonts w:hint="eastAsia"/>
        </w:rPr>
        <w:t>Ⅲ</w:t>
      </w:r>
      <w:r>
        <w:rPr>
          <w:rFonts w:hint="eastAsia"/>
        </w:rPr>
        <w:t>、</w:t>
      </w:r>
      <w:r>
        <w:t>t-PA</w:t>
      </w:r>
      <w:r>
        <w:rPr>
          <w:rFonts w:hint="eastAsia"/>
        </w:rPr>
        <w:t>水平低于对照组，颈动脉内膜中层厚度高于对照组（</w:t>
      </w:r>
      <w:r>
        <w:t>P</w:t>
      </w:r>
      <w:r>
        <w:rPr>
          <w:rFonts w:hint="eastAsia"/>
        </w:rPr>
        <w:t>均＜</w:t>
      </w:r>
      <w:r>
        <w:t>0.05</w:t>
      </w:r>
      <w:r>
        <w:rPr>
          <w:rFonts w:hint="eastAsia"/>
        </w:rPr>
        <w:t>）。</w:t>
      </w:r>
      <w:r>
        <w:rPr>
          <w:rFonts w:ascii="Times New Roman" w:hint="eastAsia"/>
          <w:szCs w:val="21"/>
        </w:rPr>
        <w:t>血清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rPr>
          <w:rFonts w:ascii="Times New Roman"/>
          <w:szCs w:val="21"/>
        </w:rPr>
        <w:t>Fbg</w:t>
      </w:r>
      <w:r>
        <w:rPr>
          <w:rFonts w:ascii="Times New Roman" w:hint="eastAsia"/>
          <w:szCs w:val="21"/>
        </w:rPr>
        <w:t>、</w:t>
      </w:r>
      <w:r>
        <w:rPr>
          <w:rFonts w:ascii="Times New Roman"/>
          <w:szCs w:val="21"/>
        </w:rPr>
        <w:t>PAI-1</w:t>
      </w:r>
      <w:r>
        <w:rPr>
          <w:rFonts w:ascii="Times New Roman" w:hint="eastAsia"/>
          <w:szCs w:val="21"/>
        </w:rPr>
        <w:t>水平与</w:t>
      </w:r>
      <w:r>
        <w:rPr>
          <w:rFonts w:ascii="Times New Roman"/>
          <w:szCs w:val="21"/>
        </w:rPr>
        <w:t>IMT</w:t>
      </w:r>
      <w:r>
        <w:rPr>
          <w:rFonts w:ascii="Times New Roman" w:hint="eastAsia"/>
          <w:szCs w:val="21"/>
        </w:rPr>
        <w:t>呈正相关（</w:t>
      </w:r>
      <w:r>
        <w:rPr>
          <w:rFonts w:ascii="Times New Roman"/>
          <w:szCs w:val="21"/>
        </w:rPr>
        <w:t>r=0.507</w:t>
      </w:r>
      <w:r>
        <w:rPr>
          <w:rFonts w:ascii="Times New Roman" w:hint="eastAsia"/>
          <w:szCs w:val="21"/>
        </w:rPr>
        <w:t>，</w:t>
      </w:r>
      <w:r>
        <w:rPr>
          <w:rFonts w:ascii="Times New Roman"/>
          <w:szCs w:val="21"/>
        </w:rPr>
        <w:t>0.411</w:t>
      </w:r>
      <w:r>
        <w:rPr>
          <w:rFonts w:ascii="Times New Roman" w:hint="eastAsia"/>
          <w:szCs w:val="21"/>
        </w:rPr>
        <w:t>，</w:t>
      </w:r>
      <w:r>
        <w:rPr>
          <w:rFonts w:ascii="Times New Roman"/>
          <w:szCs w:val="21"/>
        </w:rPr>
        <w:t>0.392</w:t>
      </w:r>
      <w:r>
        <w:rPr>
          <w:rFonts w:ascii="Times New Roman" w:hint="eastAsia"/>
          <w:szCs w:val="21"/>
        </w:rPr>
        <w:t>和</w:t>
      </w:r>
      <w:r>
        <w:rPr>
          <w:rFonts w:ascii="Times New Roman"/>
          <w:szCs w:val="21"/>
        </w:rPr>
        <w:t>0.458</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）。血清</w:t>
      </w:r>
      <w:r>
        <w:rPr>
          <w:rFonts w:ascii="Times New Roman"/>
          <w:szCs w:val="21"/>
        </w:rPr>
        <w:t>AT</w:t>
      </w:r>
      <w:r w:rsidRPr="00A31A63">
        <w:rPr>
          <w:rFonts w:hint="eastAsia"/>
        </w:rPr>
        <w:t>Ⅲ</w:t>
      </w:r>
      <w:r>
        <w:rPr>
          <w:rFonts w:hint="eastAsia"/>
        </w:rPr>
        <w:t>、</w:t>
      </w:r>
      <w:r>
        <w:t>t-PA</w:t>
      </w:r>
      <w:r>
        <w:rPr>
          <w:rFonts w:hint="eastAsia"/>
        </w:rPr>
        <w:t>水平与</w:t>
      </w:r>
      <w:r>
        <w:rPr>
          <w:rFonts w:ascii="Times New Roman"/>
          <w:szCs w:val="21"/>
        </w:rPr>
        <w:t>IMT</w:t>
      </w:r>
      <w:r>
        <w:rPr>
          <w:rFonts w:ascii="Times New Roman" w:hint="eastAsia"/>
          <w:szCs w:val="21"/>
        </w:rPr>
        <w:t>呈负相关（</w:t>
      </w:r>
      <w:r>
        <w:rPr>
          <w:rFonts w:ascii="Times New Roman"/>
          <w:szCs w:val="21"/>
        </w:rPr>
        <w:t>r=-0.401</w:t>
      </w:r>
      <w:r>
        <w:rPr>
          <w:rFonts w:ascii="Times New Roman" w:hint="eastAsia"/>
          <w:szCs w:val="21"/>
        </w:rPr>
        <w:t>，</w:t>
      </w:r>
      <w:r>
        <w:rPr>
          <w:rFonts w:ascii="Times New Roman"/>
          <w:szCs w:val="21"/>
        </w:rPr>
        <w:t>-0.367</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w:t>
      </w:r>
      <w:r>
        <w:rPr>
          <w:rFonts w:ascii="Times New Roman"/>
          <w:szCs w:val="21"/>
        </w:rPr>
        <w:t>OSAHS</w:t>
      </w:r>
      <w:r>
        <w:rPr>
          <w:rFonts w:hint="eastAsia"/>
        </w:rPr>
        <w:t>患者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t>t-PA</w:t>
      </w:r>
      <w:r>
        <w:rPr>
          <w:rFonts w:hint="eastAsia"/>
        </w:rPr>
        <w:t>水平与</w:t>
      </w:r>
      <w:r>
        <w:t>IMT</w:t>
      </w:r>
      <w:r>
        <w:rPr>
          <w:rFonts w:hint="eastAsia"/>
        </w:rPr>
        <w:t>成线性回归关系。</w:t>
      </w:r>
      <w:r w:rsidRPr="0000585A">
        <w:rPr>
          <w:rFonts w:hint="eastAsia"/>
        </w:rPr>
        <w:t>结论：</w:t>
      </w:r>
      <w:r>
        <w:rPr>
          <w:rFonts w:ascii="Times New Roman"/>
          <w:szCs w:val="21"/>
        </w:rPr>
        <w:t>OSAHS</w:t>
      </w:r>
      <w:r>
        <w:rPr>
          <w:rFonts w:ascii="Times New Roman" w:hint="eastAsia"/>
          <w:szCs w:val="21"/>
        </w:rPr>
        <w:t>患者存在着明显的</w:t>
      </w:r>
      <w:r>
        <w:rPr>
          <w:rFonts w:ascii="Times New Roman"/>
          <w:szCs w:val="21"/>
        </w:rPr>
        <w:t>PTS</w:t>
      </w:r>
      <w:r>
        <w:rPr>
          <w:rFonts w:ascii="Times New Roman" w:hint="eastAsia"/>
          <w:szCs w:val="21"/>
        </w:rPr>
        <w:t>，同时颈动脉内膜增厚明显。</w:t>
      </w:r>
      <w:r>
        <w:rPr>
          <w:rFonts w:ascii="Times New Roman"/>
          <w:szCs w:val="21"/>
        </w:rPr>
        <w:t>PTS</w:t>
      </w:r>
      <w:r>
        <w:rPr>
          <w:rFonts w:ascii="Times New Roman" w:hint="eastAsia"/>
          <w:szCs w:val="21"/>
        </w:rPr>
        <w:t>是导致患者颈动脉内膜增厚的重要因素之一。</w:t>
      </w:r>
    </w:p>
    <w:p w:rsidR="0044479B" w:rsidRDefault="0044479B" w:rsidP="00077278">
      <w:pPr>
        <w:ind w:firstLine="405"/>
        <w:jc w:val="left"/>
      </w:pPr>
      <w:r w:rsidRPr="00AA5A7D">
        <w:rPr>
          <w:rFonts w:hint="eastAsia"/>
          <w:b/>
        </w:rPr>
        <w:t>关键词</w:t>
      </w:r>
      <w:r>
        <w:t xml:space="preserve">   </w:t>
      </w:r>
      <w:r>
        <w:rPr>
          <w:rFonts w:hint="eastAsia"/>
        </w:rPr>
        <w:t>睡眠呼吸暂停综合征；血栓形成前状态；颈动脉内膜中层厚度</w:t>
      </w:r>
    </w:p>
    <w:p w:rsidR="0044479B" w:rsidRPr="00872ADB" w:rsidRDefault="0044479B" w:rsidP="00B3158D">
      <w:pPr>
        <w:rPr>
          <w:rFonts w:ascii="Times New Roman" w:hAnsi="Times New Roman"/>
          <w:b/>
          <w:szCs w:val="21"/>
        </w:rPr>
      </w:pPr>
      <w:r>
        <w:rPr>
          <w:rFonts w:ascii="Times New Roman" w:hAnsi="Times New Roman"/>
          <w:b/>
          <w:szCs w:val="21"/>
        </w:rPr>
        <w:t xml:space="preserve">    </w:t>
      </w:r>
      <w:r>
        <w:rPr>
          <w:rFonts w:ascii="Times New Roman" w:hAnsi="Times New Roman" w:hint="eastAsia"/>
          <w:b/>
          <w:szCs w:val="21"/>
        </w:rPr>
        <w:t>中国分类号</w:t>
      </w:r>
      <w:r w:rsidRPr="00872ADB">
        <w:rPr>
          <w:rFonts w:ascii="??" w:hAnsi="??"/>
          <w:color w:val="333333"/>
          <w:szCs w:val="21"/>
        </w:rPr>
        <w:t xml:space="preserve">R766 </w:t>
      </w:r>
      <w:r>
        <w:rPr>
          <w:rFonts w:ascii="??" w:hAnsi="??"/>
          <w:color w:val="333333"/>
          <w:sz w:val="16"/>
          <w:szCs w:val="16"/>
        </w:rPr>
        <w:t xml:space="preserve"> </w:t>
      </w:r>
      <w:r w:rsidRPr="00872ADB">
        <w:rPr>
          <w:rFonts w:ascii="??" w:hAnsi="??"/>
          <w:color w:val="333333"/>
          <w:szCs w:val="21"/>
        </w:rPr>
        <w:t xml:space="preserve"> </w:t>
      </w:r>
      <w:r w:rsidRPr="00872ADB">
        <w:rPr>
          <w:rFonts w:ascii="??" w:hAnsi="??" w:hint="eastAsia"/>
          <w:color w:val="333333"/>
          <w:szCs w:val="21"/>
        </w:rPr>
        <w:t>，</w:t>
      </w:r>
      <w:r w:rsidRPr="00872ADB">
        <w:rPr>
          <w:rFonts w:ascii="??" w:hAnsi="??" w:hint="eastAsia"/>
          <w:b/>
          <w:color w:val="333333"/>
          <w:szCs w:val="21"/>
        </w:rPr>
        <w:t>文献标识码</w:t>
      </w:r>
      <w:r w:rsidRPr="00872ADB">
        <w:rPr>
          <w:rFonts w:ascii="??" w:hAnsi="??"/>
          <w:color w:val="333333"/>
          <w:szCs w:val="21"/>
        </w:rPr>
        <w:t xml:space="preserve">  A</w:t>
      </w:r>
    </w:p>
    <w:p w:rsidR="0044479B" w:rsidRPr="00B3158D" w:rsidRDefault="0044479B" w:rsidP="0000585A">
      <w:pPr>
        <w:rPr>
          <w:rFonts w:ascii="Times New Roman" w:hAnsi="Times New Roman"/>
          <w:b/>
          <w:kern w:val="0"/>
          <w:szCs w:val="21"/>
        </w:rPr>
      </w:pPr>
    </w:p>
    <w:p w:rsidR="0044479B" w:rsidRPr="0000585A" w:rsidRDefault="0044479B" w:rsidP="0000585A">
      <w:pPr>
        <w:rPr>
          <w:rFonts w:ascii="Times New Roman" w:hAnsi="Times New Roman"/>
          <w:b/>
          <w:kern w:val="0"/>
          <w:szCs w:val="21"/>
        </w:rPr>
      </w:pPr>
      <w:r>
        <w:rPr>
          <w:rFonts w:ascii="Times New Roman" w:hAnsi="Times New Roman"/>
          <w:b/>
          <w:kern w:val="0"/>
          <w:szCs w:val="21"/>
        </w:rPr>
        <w:t>Correlation between</w:t>
      </w:r>
      <w:r>
        <w:rPr>
          <w:rFonts w:ascii="Times New Roman" w:hAnsi="Times New Roman"/>
          <w:b/>
          <w:szCs w:val="21"/>
        </w:rPr>
        <w:t xml:space="preserve"> </w:t>
      </w:r>
      <w:r w:rsidRPr="001B2A8D">
        <w:rPr>
          <w:rFonts w:ascii="Times New Roman" w:hAnsi="Times New Roman"/>
          <w:b/>
          <w:kern w:val="0"/>
          <w:szCs w:val="21"/>
        </w:rPr>
        <w:t>pre-thrombotic state</w:t>
      </w:r>
      <w:r>
        <w:rPr>
          <w:rFonts w:ascii="Times New Roman" w:hAnsi="Times New Roman"/>
          <w:b/>
          <w:kern w:val="0"/>
          <w:szCs w:val="21"/>
        </w:rPr>
        <w:t xml:space="preserve"> and intima-madia thickness of carotid artery in patients with obstructive sleep apnea hypopnea syndrome  </w:t>
      </w:r>
      <w:r w:rsidRPr="0000585A">
        <w:rPr>
          <w:rFonts w:ascii="Times New Roman" w:hAnsi="Times New Roman"/>
          <w:i/>
          <w:kern w:val="0"/>
          <w:szCs w:val="21"/>
        </w:rPr>
        <w:t>YU Kun-cheng ,</w:t>
      </w:r>
      <w:r w:rsidRPr="0000585A">
        <w:rPr>
          <w:rFonts w:ascii="Times New Roman" w:hAnsi="Times New Roman"/>
          <w:i/>
          <w:kern w:val="0"/>
          <w:sz w:val="18"/>
          <w:szCs w:val="18"/>
        </w:rPr>
        <w:t>XIE Jiang-xia</w:t>
      </w:r>
      <w:r w:rsidRPr="0000585A">
        <w:rPr>
          <w:rFonts w:ascii="宋体" w:hAnsi="宋体" w:hint="eastAsia"/>
          <w:i/>
          <w:sz w:val="18"/>
          <w:szCs w:val="18"/>
          <w:vertAlign w:val="superscript"/>
        </w:rPr>
        <w:t>※</w:t>
      </w:r>
      <w:r w:rsidRPr="0000585A">
        <w:rPr>
          <w:rFonts w:ascii="Times New Roman" w:hAnsi="Times New Roman"/>
          <w:i/>
          <w:kern w:val="0"/>
          <w:sz w:val="18"/>
          <w:szCs w:val="18"/>
        </w:rPr>
        <w:t xml:space="preserve"> ,YANG Shu-kun</w:t>
      </w:r>
      <w:r w:rsidRPr="0000585A">
        <w:rPr>
          <w:rFonts w:ascii="Times New Roman" w:hAnsi="Times New Roman" w:hint="eastAsia"/>
          <w:i/>
          <w:kern w:val="0"/>
          <w:sz w:val="18"/>
          <w:szCs w:val="18"/>
        </w:rPr>
        <w:t>，</w:t>
      </w:r>
      <w:r w:rsidRPr="0000585A">
        <w:rPr>
          <w:rFonts w:ascii="Times New Roman" w:hAnsi="Times New Roman"/>
          <w:i/>
          <w:kern w:val="0"/>
          <w:sz w:val="18"/>
          <w:szCs w:val="18"/>
        </w:rPr>
        <w:t xml:space="preserve">ZHANG Xiao-yu. </w:t>
      </w:r>
      <w:r w:rsidRPr="0000585A">
        <w:rPr>
          <w:rFonts w:ascii="Times New Roman" w:hAnsi="Times New Roman"/>
          <w:i/>
          <w:sz w:val="18"/>
          <w:szCs w:val="18"/>
        </w:rPr>
        <w:t>Longgang District People’s Hospital of ShenZhen</w:t>
      </w:r>
      <w:r w:rsidRPr="0000585A">
        <w:rPr>
          <w:rFonts w:ascii="Times New Roman" w:hAnsi="Times New Roman" w:hint="eastAsia"/>
          <w:i/>
          <w:sz w:val="18"/>
          <w:szCs w:val="18"/>
        </w:rPr>
        <w:t>，</w:t>
      </w:r>
      <w:r w:rsidRPr="0000585A">
        <w:rPr>
          <w:rFonts w:ascii="Times New Roman" w:hAnsi="Times New Roman"/>
          <w:i/>
          <w:sz w:val="18"/>
          <w:szCs w:val="18"/>
        </w:rPr>
        <w:t>ShenZhen</w:t>
      </w:r>
      <w:r w:rsidRPr="0000585A">
        <w:rPr>
          <w:rFonts w:ascii="Times New Roman" w:hAnsi="Times New Roman" w:hint="eastAsia"/>
          <w:i/>
          <w:sz w:val="18"/>
          <w:szCs w:val="18"/>
        </w:rPr>
        <w:t>，</w:t>
      </w:r>
      <w:r w:rsidRPr="0000585A">
        <w:rPr>
          <w:rFonts w:ascii="Times New Roman" w:hAnsi="Times New Roman"/>
          <w:i/>
          <w:sz w:val="18"/>
          <w:szCs w:val="18"/>
        </w:rPr>
        <w:t>518172,China</w:t>
      </w:r>
    </w:p>
    <w:p w:rsidR="0044479B" w:rsidRPr="00AD0ACE" w:rsidRDefault="0044479B" w:rsidP="00AD0ACE">
      <w:pPr>
        <w:rPr>
          <w:rFonts w:ascii="Times New Roman" w:hAnsi="Times New Roman"/>
          <w:b/>
          <w:kern w:val="0"/>
          <w:szCs w:val="21"/>
        </w:rPr>
      </w:pPr>
      <w:r w:rsidRPr="00AD0ACE">
        <w:rPr>
          <w:rFonts w:ascii="Times New Roman" w:hAnsi="Times New Roman"/>
          <w:b/>
          <w:szCs w:val="21"/>
        </w:rPr>
        <w:t xml:space="preserve"> </w:t>
      </w:r>
      <w:r>
        <w:rPr>
          <w:rFonts w:ascii="Times New Roman" w:hAnsi="Times New Roman"/>
          <w:b/>
          <w:szCs w:val="21"/>
        </w:rPr>
        <w:t xml:space="preserve"> </w:t>
      </w:r>
      <w:r w:rsidRPr="00AD0ACE">
        <w:rPr>
          <w:rFonts w:ascii="Times New Roman" w:hAnsi="Times New Roman"/>
          <w:b/>
          <w:szCs w:val="21"/>
        </w:rPr>
        <w:t xml:space="preserve">Abstract </w:t>
      </w:r>
      <w:r>
        <w:rPr>
          <w:rFonts w:ascii="Times New Roman" w:hAnsi="Times New Roman"/>
          <w:b/>
          <w:szCs w:val="21"/>
        </w:rPr>
        <w:t xml:space="preserve"> </w:t>
      </w:r>
      <w:r w:rsidRPr="0000585A">
        <w:rPr>
          <w:rFonts w:ascii="Times New Roman" w:hAnsi="Times New Roman"/>
          <w:szCs w:val="21"/>
        </w:rPr>
        <w:t xml:space="preserve">Objective: </w:t>
      </w:r>
      <w:r w:rsidRPr="00AD0ACE">
        <w:rPr>
          <w:rFonts w:ascii="Times New Roman" w:hAnsi="Times New Roman"/>
          <w:szCs w:val="21"/>
        </w:rPr>
        <w:t xml:space="preserve">To </w:t>
      </w:r>
      <w:r w:rsidRPr="00AD0ACE">
        <w:rPr>
          <w:rFonts w:ascii="Times New Roman" w:hAnsi="Times New Roman"/>
          <w:kern w:val="0"/>
          <w:szCs w:val="21"/>
        </w:rPr>
        <w:t xml:space="preserve">analysis the correlation between pre-thrombotic state and intima-madia thickness (IMT) of carotid artery in patients with obstructive sleep apnea hypopnea syndrome (OSAHS). </w:t>
      </w:r>
      <w:r w:rsidRPr="0000585A">
        <w:rPr>
          <w:rFonts w:ascii="Times New Roman" w:hAnsi="Times New Roman"/>
          <w:szCs w:val="21"/>
        </w:rPr>
        <w:t xml:space="preserve">Methods: </w:t>
      </w:r>
      <w:r w:rsidRPr="00AD0ACE">
        <w:rPr>
          <w:rFonts w:ascii="Times New Roman" w:hAnsi="Times New Roman"/>
          <w:szCs w:val="21"/>
        </w:rPr>
        <w:t xml:space="preserve"> 56 OSAHS patients(OSAHS group) and 28 healthy voluntrers (control group) were recruited in the study.The levels of serum </w:t>
      </w:r>
      <w:r w:rsidRPr="00AD0ACE">
        <w:rPr>
          <w:rFonts w:ascii="Times New Roman" w:hAnsi="Times New Roman"/>
        </w:rPr>
        <w:t xml:space="preserve">granular membrane protein (GMP-140), von willebran factor(vWF), antithrombin </w:t>
      </w:r>
      <w:r w:rsidRPr="00AD0ACE">
        <w:rPr>
          <w:rFonts w:ascii="Times New Roman" w:hAnsi="宋体" w:hint="eastAsia"/>
        </w:rPr>
        <w:t>Ⅲ</w:t>
      </w:r>
      <w:r w:rsidRPr="00AD0ACE">
        <w:rPr>
          <w:rFonts w:ascii="Times New Roman" w:hAnsi="Times New Roman"/>
        </w:rPr>
        <w:t>(AT</w:t>
      </w:r>
      <w:r w:rsidRPr="00AD0ACE">
        <w:rPr>
          <w:rFonts w:ascii="Times New Roman" w:hAnsi="宋体" w:hint="eastAsia"/>
        </w:rPr>
        <w:t>Ⅲ</w:t>
      </w:r>
      <w:r w:rsidRPr="00AD0ACE">
        <w:rPr>
          <w:rFonts w:ascii="Times New Roman" w:hAnsi="Times New Roman"/>
        </w:rPr>
        <w:t xml:space="preserve">) were test by enzyme-linked immunosorbent assay.The states of IMT </w:t>
      </w:r>
      <w:r w:rsidRPr="00AD0ACE">
        <w:rPr>
          <w:rFonts w:ascii="Times New Roman" w:hAnsi="Times New Roman"/>
          <w:kern w:val="0"/>
          <w:szCs w:val="21"/>
        </w:rPr>
        <w:t>of carotid artery</w:t>
      </w:r>
      <w:r w:rsidRPr="00AD0ACE">
        <w:rPr>
          <w:rFonts w:ascii="Times New Roman" w:hAnsi="Times New Roman"/>
        </w:rPr>
        <w:t xml:space="preserve"> were evaluated by ultrasonic imagingmethod and the tissue-type plasminogen (t-PA), plasminogen activator inhibitor-1(PAI-1) were test by Substrate chemiluminescence method. </w:t>
      </w:r>
      <w:r w:rsidRPr="0000585A">
        <w:rPr>
          <w:rFonts w:ascii="Times New Roman" w:hAnsi="Times New Roman"/>
          <w:szCs w:val="21"/>
        </w:rPr>
        <w:t>Results:</w:t>
      </w:r>
      <w:r w:rsidRPr="00AD0ACE">
        <w:rPr>
          <w:rFonts w:ascii="Times New Roman" w:hAnsi="Times New Roman"/>
          <w:b/>
          <w:szCs w:val="21"/>
        </w:rPr>
        <w:t xml:space="preserve"> </w:t>
      </w:r>
      <w:r w:rsidRPr="00AD0ACE">
        <w:rPr>
          <w:rFonts w:ascii="Times New Roman" w:hAnsi="Times New Roman"/>
          <w:szCs w:val="21"/>
        </w:rPr>
        <w:t xml:space="preserve">Compared to the control group, </w:t>
      </w:r>
      <w:r w:rsidRPr="00AD0ACE">
        <w:rPr>
          <w:rFonts w:ascii="Times New Roman" w:hAnsi="Times New Roman"/>
          <w:bCs/>
          <w:kern w:val="0"/>
          <w:szCs w:val="21"/>
        </w:rPr>
        <w:t>the levels of serum</w:t>
      </w:r>
      <w:r w:rsidRPr="00AD0ACE">
        <w:rPr>
          <w:rFonts w:ascii="Times New Roman" w:hAnsi="Times New Roman"/>
          <w:bCs/>
        </w:rPr>
        <w:t xml:space="preserve"> </w:t>
      </w:r>
      <w:r w:rsidRPr="00AD0ACE">
        <w:rPr>
          <w:rFonts w:ascii="Times New Roman" w:hAnsi="Times New Roman"/>
          <w:szCs w:val="21"/>
        </w:rPr>
        <w:t>GMP-140</w:t>
      </w:r>
      <w:r w:rsidRPr="00AD0ACE">
        <w:rPr>
          <w:rFonts w:ascii="Times New Roman" w:hAnsi="Times New Roman"/>
        </w:rPr>
        <w:t xml:space="preserve">, </w:t>
      </w:r>
      <w:r w:rsidRPr="00AD0ACE">
        <w:rPr>
          <w:rFonts w:ascii="Times New Roman" w:hAnsi="Times New Roman"/>
          <w:szCs w:val="21"/>
        </w:rPr>
        <w:t>vWF</w:t>
      </w:r>
      <w:r w:rsidRPr="00AD0ACE">
        <w:rPr>
          <w:rFonts w:ascii="Times New Roman" w:hAnsi="Times New Roman"/>
        </w:rPr>
        <w:t xml:space="preserve">, </w:t>
      </w:r>
      <w:r w:rsidRPr="00AD0ACE">
        <w:rPr>
          <w:rFonts w:ascii="Times New Roman" w:hAnsi="Times New Roman"/>
          <w:szCs w:val="21"/>
        </w:rPr>
        <w:t>Fbg</w:t>
      </w:r>
      <w:r w:rsidRPr="00AD0ACE">
        <w:rPr>
          <w:rFonts w:ascii="Times New Roman" w:hAnsi="Times New Roman"/>
        </w:rPr>
        <w:t xml:space="preserve">, </w:t>
      </w:r>
      <w:r w:rsidRPr="00AD0ACE">
        <w:rPr>
          <w:rFonts w:ascii="Times New Roman" w:hAnsi="Times New Roman"/>
          <w:szCs w:val="21"/>
        </w:rPr>
        <w:t>PAI-1</w:t>
      </w:r>
      <w:r w:rsidRPr="00AD0ACE">
        <w:rPr>
          <w:rFonts w:ascii="Times New Roman" w:hAnsi="Times New Roman"/>
        </w:rPr>
        <w:t xml:space="preserve"> and were IMT </w:t>
      </w:r>
      <w:r w:rsidRPr="00AD0ACE">
        <w:rPr>
          <w:rFonts w:ascii="Times New Roman" w:hAnsi="Times New Roman"/>
          <w:kern w:val="0"/>
          <w:szCs w:val="21"/>
        </w:rPr>
        <w:t>of carotid artery</w:t>
      </w:r>
      <w:r w:rsidRPr="00AD0ACE">
        <w:rPr>
          <w:rFonts w:ascii="Times New Roman" w:hAnsi="Times New Roman"/>
        </w:rPr>
        <w:t xml:space="preserve"> </w:t>
      </w:r>
      <w:r w:rsidRPr="00AD0ACE">
        <w:rPr>
          <w:rFonts w:ascii="Times New Roman" w:hAnsi="Times New Roman"/>
          <w:bCs/>
          <w:kern w:val="0"/>
          <w:szCs w:val="21"/>
        </w:rPr>
        <w:t xml:space="preserve">significantly higher </w:t>
      </w:r>
      <w:r w:rsidRPr="00AD0ACE">
        <w:rPr>
          <w:rFonts w:ascii="Times New Roman" w:hAnsi="Times New Roman"/>
          <w:szCs w:val="21"/>
        </w:rPr>
        <w:t>in patients with OSAHS(</w:t>
      </w:r>
      <w:r w:rsidRPr="00AD0ACE">
        <w:rPr>
          <w:rFonts w:ascii="Times New Roman" w:hAnsi="Times New Roman"/>
          <w:i/>
          <w:szCs w:val="21"/>
        </w:rPr>
        <w:t>P</w:t>
      </w:r>
      <w:r w:rsidRPr="00AD0ACE">
        <w:rPr>
          <w:rFonts w:ascii="Times New Roman" w:hAnsi="Times New Roman" w:hint="eastAsia"/>
          <w:kern w:val="0"/>
          <w:szCs w:val="21"/>
        </w:rPr>
        <w:t>＜</w:t>
      </w:r>
      <w:r w:rsidRPr="00AD0ACE">
        <w:rPr>
          <w:rFonts w:ascii="Times New Roman" w:hAnsi="Times New Roman"/>
          <w:kern w:val="0"/>
          <w:szCs w:val="21"/>
        </w:rPr>
        <w:t>0.0</w:t>
      </w:r>
      <w:r w:rsidRPr="00AD0ACE">
        <w:rPr>
          <w:rFonts w:ascii="Times New Roman" w:hAnsi="Times New Roman"/>
        </w:rPr>
        <w:t>5</w:t>
      </w:r>
      <w:r w:rsidRPr="00AD0ACE">
        <w:rPr>
          <w:rFonts w:ascii="Times New Roman" w:hAnsi="Times New Roman"/>
          <w:szCs w:val="21"/>
        </w:rPr>
        <w:t>).</w:t>
      </w:r>
      <w:r w:rsidRPr="00AD0ACE">
        <w:rPr>
          <w:rFonts w:ascii="Times New Roman" w:hAnsi="Times New Roman"/>
        </w:rPr>
        <w:t xml:space="preserve"> On the contrary</w:t>
      </w:r>
      <w:r w:rsidRPr="00AD0ACE">
        <w:rPr>
          <w:rFonts w:ascii="Times New Roman" w:hAnsi="Times New Roman" w:hint="eastAsia"/>
        </w:rPr>
        <w:t>，</w:t>
      </w:r>
      <w:r w:rsidRPr="00AD0ACE">
        <w:rPr>
          <w:rFonts w:ascii="Times New Roman" w:hAnsi="Times New Roman"/>
        </w:rPr>
        <w:t xml:space="preserve">the levels of </w:t>
      </w:r>
      <w:r w:rsidRPr="00AD0ACE">
        <w:rPr>
          <w:rFonts w:ascii="Times New Roman" w:hAnsi="Times New Roman"/>
          <w:szCs w:val="21"/>
        </w:rPr>
        <w:t>AT</w:t>
      </w:r>
      <w:r w:rsidRPr="00AD0ACE">
        <w:rPr>
          <w:rFonts w:ascii="宋体" w:hAnsi="宋体" w:cs="宋体" w:hint="eastAsia"/>
        </w:rPr>
        <w:t>Ⅲ</w:t>
      </w:r>
      <w:r w:rsidRPr="00AD0ACE">
        <w:rPr>
          <w:rFonts w:ascii="Times New Roman" w:hAnsi="Times New Roman"/>
        </w:rPr>
        <w:t xml:space="preserve"> and t-PA were </w:t>
      </w:r>
      <w:r w:rsidRPr="00AD0ACE">
        <w:rPr>
          <w:rFonts w:ascii="Times New Roman" w:hAnsi="Times New Roman"/>
          <w:bCs/>
          <w:kern w:val="0"/>
          <w:szCs w:val="21"/>
        </w:rPr>
        <w:t xml:space="preserve">significantly </w:t>
      </w:r>
      <w:r w:rsidRPr="00AD0ACE">
        <w:rPr>
          <w:rFonts w:ascii="Times New Roman" w:hAnsi="Times New Roman"/>
          <w:bCs/>
        </w:rPr>
        <w:t>low</w:t>
      </w:r>
      <w:r w:rsidRPr="00AD0ACE">
        <w:rPr>
          <w:rFonts w:ascii="Times New Roman" w:hAnsi="Times New Roman"/>
          <w:bCs/>
          <w:kern w:val="0"/>
          <w:szCs w:val="21"/>
        </w:rPr>
        <w:t>er</w:t>
      </w:r>
      <w:r w:rsidRPr="00AD0ACE">
        <w:rPr>
          <w:rFonts w:ascii="Times New Roman" w:hAnsi="Times New Roman"/>
          <w:bCs/>
        </w:rPr>
        <w:t xml:space="preserve"> in </w:t>
      </w:r>
      <w:r w:rsidRPr="00AD0ACE">
        <w:rPr>
          <w:rFonts w:ascii="Times New Roman" w:hAnsi="Times New Roman"/>
          <w:szCs w:val="21"/>
        </w:rPr>
        <w:t>OSAHS group</w:t>
      </w:r>
      <w:r w:rsidRPr="00AD0ACE">
        <w:rPr>
          <w:rFonts w:ascii="Times New Roman" w:hAnsi="Times New Roman"/>
        </w:rPr>
        <w:t xml:space="preserve">. </w:t>
      </w:r>
      <w:r w:rsidRPr="00AD0ACE">
        <w:rPr>
          <w:rFonts w:ascii="Times New Roman" w:hAnsi="Times New Roman"/>
          <w:szCs w:val="21"/>
        </w:rPr>
        <w:t>T</w:t>
      </w:r>
      <w:r w:rsidRPr="00AD0ACE">
        <w:rPr>
          <w:rFonts w:ascii="Times New Roman" w:hAnsi="Times New Roman"/>
          <w:bCs/>
          <w:kern w:val="0"/>
          <w:szCs w:val="21"/>
        </w:rPr>
        <w:t xml:space="preserve">he </w:t>
      </w:r>
      <w:r w:rsidRPr="00AD0ACE">
        <w:rPr>
          <w:rFonts w:ascii="Times New Roman" w:hAnsi="Times New Roman"/>
        </w:rPr>
        <w:t xml:space="preserve">IMT </w:t>
      </w:r>
      <w:r w:rsidRPr="00AD0ACE">
        <w:rPr>
          <w:rFonts w:ascii="Times New Roman" w:hAnsi="Times New Roman"/>
          <w:kern w:val="0"/>
          <w:szCs w:val="21"/>
        </w:rPr>
        <w:t>of carotid artery</w:t>
      </w:r>
      <w:r w:rsidRPr="00AD0ACE">
        <w:rPr>
          <w:rFonts w:ascii="Times New Roman" w:hAnsi="Times New Roman"/>
          <w:bCs/>
          <w:kern w:val="0"/>
          <w:szCs w:val="21"/>
        </w:rPr>
        <w:t xml:space="preserve"> were positive correlation to </w:t>
      </w:r>
      <w:r w:rsidRPr="00AD0ACE">
        <w:rPr>
          <w:rFonts w:ascii="Times New Roman" w:hAnsi="Times New Roman"/>
          <w:szCs w:val="21"/>
        </w:rPr>
        <w:t>GMP-140</w:t>
      </w:r>
      <w:r w:rsidRPr="00AD0ACE">
        <w:rPr>
          <w:rFonts w:ascii="Times New Roman" w:hAnsi="Times New Roman"/>
        </w:rPr>
        <w:t>,</w:t>
      </w:r>
      <w:r w:rsidRPr="00AD0ACE">
        <w:rPr>
          <w:rFonts w:ascii="Times New Roman" w:hAnsi="Times New Roman"/>
          <w:szCs w:val="21"/>
        </w:rPr>
        <w:t>vWF</w:t>
      </w:r>
      <w:r w:rsidRPr="00AD0ACE">
        <w:rPr>
          <w:rFonts w:ascii="Times New Roman" w:hAnsi="Times New Roman"/>
        </w:rPr>
        <w:t>,</w:t>
      </w:r>
      <w:r w:rsidRPr="00AD0ACE">
        <w:rPr>
          <w:rFonts w:ascii="Times New Roman" w:hAnsi="Times New Roman"/>
          <w:szCs w:val="21"/>
        </w:rPr>
        <w:t>Fbg</w:t>
      </w:r>
      <w:r w:rsidRPr="00AD0ACE">
        <w:rPr>
          <w:rFonts w:ascii="Times New Roman" w:hAnsi="Times New Roman"/>
        </w:rPr>
        <w:t>,</w:t>
      </w:r>
      <w:r w:rsidRPr="00AD0ACE">
        <w:rPr>
          <w:rFonts w:ascii="Times New Roman" w:hAnsi="Times New Roman"/>
          <w:szCs w:val="21"/>
        </w:rPr>
        <w:t>PAI-1 (</w:t>
      </w:r>
      <w:r w:rsidRPr="00AD0ACE">
        <w:rPr>
          <w:rFonts w:ascii="Times New Roman" w:hAnsi="Times New Roman"/>
          <w:i/>
          <w:szCs w:val="21"/>
        </w:rPr>
        <w:t>r</w:t>
      </w:r>
      <w:r w:rsidRPr="00AD0ACE">
        <w:rPr>
          <w:rFonts w:ascii="Times New Roman" w:hAnsi="Times New Roman"/>
          <w:szCs w:val="21"/>
        </w:rPr>
        <w:t>=0.507</w:t>
      </w:r>
      <w:r w:rsidRPr="00AD0ACE">
        <w:rPr>
          <w:rFonts w:ascii="Times New Roman" w:hAnsi="Times New Roman"/>
        </w:rPr>
        <w:t>,</w:t>
      </w:r>
      <w:r w:rsidRPr="00AD0ACE">
        <w:rPr>
          <w:rFonts w:ascii="Times New Roman" w:hAnsi="Times New Roman"/>
          <w:szCs w:val="21"/>
        </w:rPr>
        <w:t>0.411</w:t>
      </w:r>
      <w:r w:rsidRPr="00AD0ACE">
        <w:rPr>
          <w:rFonts w:ascii="Times New Roman" w:hAnsi="Times New Roman"/>
        </w:rPr>
        <w:t>,</w:t>
      </w:r>
      <w:r w:rsidRPr="00AD0ACE">
        <w:rPr>
          <w:rFonts w:ascii="Times New Roman" w:hAnsi="Times New Roman"/>
          <w:szCs w:val="21"/>
        </w:rPr>
        <w:t>0.392</w:t>
      </w:r>
      <w:r w:rsidRPr="00AD0ACE">
        <w:rPr>
          <w:rFonts w:ascii="Times New Roman" w:hAnsi="Times New Roman"/>
        </w:rPr>
        <w:t xml:space="preserve"> and </w:t>
      </w:r>
      <w:r w:rsidRPr="00AD0ACE">
        <w:rPr>
          <w:rFonts w:ascii="Times New Roman" w:hAnsi="Times New Roman"/>
          <w:szCs w:val="21"/>
        </w:rPr>
        <w:t>0.458),</w:t>
      </w:r>
      <w:r w:rsidRPr="00AD0ACE">
        <w:rPr>
          <w:rFonts w:ascii="Times New Roman" w:hAnsi="Times New Roman"/>
          <w:bCs/>
          <w:kern w:val="0"/>
          <w:szCs w:val="21"/>
        </w:rPr>
        <w:t xml:space="preserve"> which were </w:t>
      </w:r>
      <w:r w:rsidRPr="00AD0ACE">
        <w:rPr>
          <w:rFonts w:ascii="Times New Roman" w:hAnsi="Times New Roman"/>
          <w:szCs w:val="21"/>
        </w:rPr>
        <w:t>negatively</w:t>
      </w:r>
      <w:r w:rsidRPr="00AD0ACE">
        <w:rPr>
          <w:rFonts w:ascii="Times New Roman" w:hAnsi="Times New Roman"/>
          <w:bCs/>
          <w:kern w:val="0"/>
          <w:szCs w:val="21"/>
        </w:rPr>
        <w:t xml:space="preserve"> correlated to </w:t>
      </w:r>
      <w:r w:rsidRPr="00AD0ACE">
        <w:rPr>
          <w:rFonts w:ascii="Times New Roman" w:hAnsi="Times New Roman"/>
          <w:kern w:val="0"/>
          <w:szCs w:val="21"/>
        </w:rPr>
        <w:t xml:space="preserve">the </w:t>
      </w:r>
      <w:r w:rsidRPr="00AD0ACE">
        <w:rPr>
          <w:rFonts w:ascii="Times New Roman" w:hAnsi="Times New Roman"/>
          <w:szCs w:val="21"/>
        </w:rPr>
        <w:t>AT</w:t>
      </w:r>
      <w:r w:rsidRPr="00AD0ACE">
        <w:rPr>
          <w:rFonts w:ascii="宋体" w:hAnsi="宋体" w:cs="宋体" w:hint="eastAsia"/>
        </w:rPr>
        <w:t>Ⅲ</w:t>
      </w:r>
      <w:r w:rsidRPr="00AD0ACE">
        <w:rPr>
          <w:rFonts w:ascii="Times New Roman" w:hAnsi="Times New Roman"/>
        </w:rPr>
        <w:t xml:space="preserve"> and t-PA </w:t>
      </w:r>
      <w:r w:rsidRPr="00AD0ACE">
        <w:rPr>
          <w:rFonts w:ascii="Times New Roman" w:hAnsi="Times New Roman"/>
          <w:szCs w:val="21"/>
        </w:rPr>
        <w:t>(</w:t>
      </w:r>
      <w:r w:rsidRPr="00AD0ACE">
        <w:rPr>
          <w:rFonts w:ascii="Times New Roman" w:hAnsi="Times New Roman"/>
          <w:i/>
          <w:szCs w:val="21"/>
        </w:rPr>
        <w:t>r</w:t>
      </w:r>
      <w:r w:rsidRPr="00AD0ACE">
        <w:rPr>
          <w:rFonts w:ascii="Times New Roman" w:hAnsi="Times New Roman"/>
          <w:szCs w:val="21"/>
        </w:rPr>
        <w:t>=-0.401</w:t>
      </w:r>
      <w:r w:rsidRPr="00AD0ACE">
        <w:rPr>
          <w:rFonts w:ascii="Times New Roman" w:hAnsi="Times New Roman" w:hint="eastAsia"/>
          <w:szCs w:val="21"/>
        </w:rPr>
        <w:t>，</w:t>
      </w:r>
      <w:r w:rsidRPr="00AD0ACE">
        <w:rPr>
          <w:rFonts w:ascii="Times New Roman" w:hAnsi="Times New Roman"/>
          <w:szCs w:val="21"/>
        </w:rPr>
        <w:t xml:space="preserve">-0.367), all </w:t>
      </w:r>
      <w:r w:rsidRPr="00AD0ACE">
        <w:rPr>
          <w:rFonts w:ascii="Times New Roman" w:hAnsi="Times New Roman"/>
          <w:i/>
          <w:szCs w:val="21"/>
        </w:rPr>
        <w:t>P</w:t>
      </w:r>
      <w:r w:rsidRPr="00AD0ACE">
        <w:rPr>
          <w:rFonts w:ascii="Times New Roman" w:hAnsi="Times New Roman" w:hint="eastAsia"/>
          <w:szCs w:val="21"/>
        </w:rPr>
        <w:t>＜</w:t>
      </w:r>
      <w:r w:rsidRPr="00AD0ACE">
        <w:rPr>
          <w:rFonts w:ascii="Times New Roman" w:hAnsi="Times New Roman"/>
          <w:szCs w:val="21"/>
        </w:rPr>
        <w:t>0.0</w:t>
      </w:r>
      <w:r w:rsidRPr="00AD0ACE">
        <w:rPr>
          <w:rFonts w:ascii="Times New Roman" w:hAnsi="Times New Roman"/>
        </w:rPr>
        <w:t>5</w:t>
      </w:r>
      <w:r w:rsidRPr="00AD0ACE">
        <w:rPr>
          <w:rFonts w:ascii="Times New Roman" w:hAnsi="Times New Roman"/>
          <w:szCs w:val="21"/>
        </w:rPr>
        <w:t>.</w:t>
      </w:r>
      <w:r w:rsidRPr="00AD0ACE">
        <w:rPr>
          <w:rFonts w:ascii="Times New Roman" w:hAnsi="Times New Roman"/>
        </w:rPr>
        <w:t xml:space="preserve"> </w:t>
      </w:r>
      <w:r w:rsidRPr="00AD0ACE">
        <w:rPr>
          <w:rFonts w:ascii="Times New Roman" w:hAnsi="Times New Roman"/>
          <w:bCs/>
          <w:kern w:val="0"/>
          <w:szCs w:val="21"/>
        </w:rPr>
        <w:t xml:space="preserve">The </w:t>
      </w:r>
      <w:r w:rsidRPr="00AD0ACE">
        <w:rPr>
          <w:rFonts w:ascii="Times New Roman" w:hAnsi="Times New Roman"/>
        </w:rPr>
        <w:t xml:space="preserve">IMT </w:t>
      </w:r>
      <w:r w:rsidRPr="00AD0ACE">
        <w:rPr>
          <w:rFonts w:ascii="Times New Roman" w:hAnsi="Times New Roman"/>
          <w:kern w:val="0"/>
          <w:szCs w:val="21"/>
        </w:rPr>
        <w:t>of carotid artery</w:t>
      </w:r>
      <w:r w:rsidRPr="00AD0ACE">
        <w:rPr>
          <w:rFonts w:ascii="Times New Roman" w:hAnsi="Times New Roman"/>
          <w:szCs w:val="21"/>
        </w:rPr>
        <w:t xml:space="preserve"> were in multiple linear regression with AHI, </w:t>
      </w:r>
      <w:r w:rsidRPr="00AD0ACE">
        <w:rPr>
          <w:rFonts w:ascii="Times New Roman" w:hAnsi="Times New Roman"/>
        </w:rPr>
        <w:t>M</w:t>
      </w:r>
      <w:r w:rsidRPr="00AD0ACE">
        <w:rPr>
          <w:rFonts w:ascii="Times New Roman" w:hAnsi="Times New Roman"/>
          <w:szCs w:val="21"/>
        </w:rPr>
        <w:t>SaO</w:t>
      </w:r>
      <w:r w:rsidRPr="00AD0ACE">
        <w:rPr>
          <w:rFonts w:ascii="Times New Roman" w:hAnsi="Times New Roman"/>
          <w:szCs w:val="21"/>
          <w:vertAlign w:val="subscript"/>
        </w:rPr>
        <w:t>2</w:t>
      </w:r>
      <w:r w:rsidRPr="00AD0ACE">
        <w:rPr>
          <w:rFonts w:ascii="Times New Roman" w:hAnsi="Times New Roman"/>
          <w:szCs w:val="21"/>
        </w:rPr>
        <w:t xml:space="preserve"> </w:t>
      </w:r>
      <w:r w:rsidRPr="00AD0ACE">
        <w:rPr>
          <w:rFonts w:ascii="Times New Roman" w:hAnsi="Times New Roman"/>
        </w:rPr>
        <w:t xml:space="preserve">and </w:t>
      </w:r>
      <w:r w:rsidRPr="00AD0ACE">
        <w:rPr>
          <w:rFonts w:ascii="Times New Roman" w:hAnsi="Times New Roman"/>
          <w:bCs/>
          <w:kern w:val="0"/>
          <w:szCs w:val="21"/>
        </w:rPr>
        <w:t xml:space="preserve">serum </w:t>
      </w:r>
      <w:r w:rsidRPr="00AD0ACE">
        <w:rPr>
          <w:rFonts w:ascii="Times New Roman" w:hAnsi="Times New Roman"/>
          <w:szCs w:val="21"/>
        </w:rPr>
        <w:t>GMP-140</w:t>
      </w:r>
      <w:r w:rsidRPr="00AD0ACE">
        <w:rPr>
          <w:rFonts w:ascii="Times New Roman" w:hAnsi="Times New Roman"/>
        </w:rPr>
        <w:t>,</w:t>
      </w:r>
      <w:r w:rsidRPr="00AD0ACE">
        <w:rPr>
          <w:rFonts w:ascii="Times New Roman" w:hAnsi="Times New Roman"/>
          <w:szCs w:val="21"/>
        </w:rPr>
        <w:t>vWF</w:t>
      </w:r>
      <w:r w:rsidRPr="00AD0ACE">
        <w:rPr>
          <w:rFonts w:ascii="Times New Roman" w:hAnsi="Times New Roman"/>
        </w:rPr>
        <w:t xml:space="preserve"> ,t-PA</w:t>
      </w:r>
      <w:r w:rsidRPr="00AD0ACE">
        <w:rPr>
          <w:rFonts w:ascii="Times New Roman" w:hAnsi="Times New Roman"/>
          <w:bCs/>
          <w:kern w:val="0"/>
          <w:szCs w:val="21"/>
        </w:rPr>
        <w:t xml:space="preserve"> levels.</w:t>
      </w:r>
      <w:r w:rsidRPr="00AD0ACE">
        <w:rPr>
          <w:rFonts w:ascii="Times New Roman" w:hAnsi="Times New Roman"/>
          <w:b/>
        </w:rPr>
        <w:t xml:space="preserve"> </w:t>
      </w:r>
      <w:r w:rsidRPr="0000585A">
        <w:rPr>
          <w:rFonts w:ascii="Times New Roman" w:hAnsi="Times New Roman"/>
          <w:szCs w:val="21"/>
        </w:rPr>
        <w:t>Conclusions:</w:t>
      </w:r>
      <w:r w:rsidRPr="00AD0ACE">
        <w:rPr>
          <w:rFonts w:ascii="Times New Roman" w:hAnsi="Times New Roman"/>
          <w:b/>
          <w:szCs w:val="21"/>
        </w:rPr>
        <w:t xml:space="preserve">  </w:t>
      </w:r>
      <w:r w:rsidRPr="00AD0ACE">
        <w:rPr>
          <w:rFonts w:ascii="Times New Roman" w:hAnsi="Times New Roman"/>
          <w:szCs w:val="21"/>
        </w:rPr>
        <w:t>The</w:t>
      </w:r>
      <w:r w:rsidRPr="00AD0ACE">
        <w:rPr>
          <w:rFonts w:ascii="Times New Roman" w:hAnsi="Times New Roman"/>
          <w:bCs/>
          <w:kern w:val="0"/>
          <w:szCs w:val="21"/>
        </w:rPr>
        <w:t xml:space="preserve"> levels of serum </w:t>
      </w:r>
      <w:r w:rsidRPr="00AD0ACE">
        <w:rPr>
          <w:rFonts w:ascii="Times New Roman" w:hAnsi="Times New Roman"/>
          <w:bCs/>
        </w:rPr>
        <w:t>PTS</w:t>
      </w:r>
      <w:r w:rsidRPr="00AD0ACE">
        <w:rPr>
          <w:rFonts w:ascii="Times New Roman" w:hAnsi="Times New Roman"/>
          <w:bCs/>
          <w:kern w:val="0"/>
          <w:szCs w:val="21"/>
        </w:rPr>
        <w:t xml:space="preserve"> were increased and </w:t>
      </w:r>
      <w:r w:rsidRPr="00AD0ACE">
        <w:rPr>
          <w:rFonts w:ascii="Times New Roman" w:hAnsi="Times New Roman"/>
        </w:rPr>
        <w:t xml:space="preserve">IMT </w:t>
      </w:r>
      <w:r w:rsidRPr="00AD0ACE">
        <w:rPr>
          <w:rFonts w:ascii="Times New Roman" w:hAnsi="Times New Roman"/>
          <w:kern w:val="0"/>
          <w:szCs w:val="21"/>
        </w:rPr>
        <w:t>of carotid artery</w:t>
      </w:r>
      <w:r w:rsidRPr="00AD0ACE">
        <w:rPr>
          <w:rFonts w:ascii="Times New Roman" w:hAnsi="Times New Roman"/>
          <w:bCs/>
          <w:kern w:val="0"/>
          <w:szCs w:val="21"/>
        </w:rPr>
        <w:t xml:space="preserve"> </w:t>
      </w:r>
      <w:r w:rsidRPr="00AD0ACE">
        <w:rPr>
          <w:rFonts w:ascii="Times New Roman" w:hAnsi="Times New Roman"/>
          <w:kern w:val="0"/>
          <w:szCs w:val="21"/>
        </w:rPr>
        <w:t>existed in OSAHS patients</w:t>
      </w:r>
      <w:r w:rsidRPr="00AD0ACE">
        <w:rPr>
          <w:rFonts w:ascii="Times New Roman" w:hAnsi="Times New Roman"/>
        </w:rPr>
        <w:t xml:space="preserve">. The </w:t>
      </w:r>
      <w:r w:rsidRPr="00AD0ACE">
        <w:rPr>
          <w:rFonts w:ascii="Times New Roman" w:hAnsi="Times New Roman"/>
          <w:bCs/>
        </w:rPr>
        <w:t xml:space="preserve">PTS was the important factors in </w:t>
      </w:r>
      <w:r w:rsidRPr="00AD0ACE">
        <w:rPr>
          <w:rFonts w:ascii="Times New Roman" w:hAnsi="Times New Roman"/>
          <w:kern w:val="0"/>
          <w:szCs w:val="21"/>
        </w:rPr>
        <w:t>in OSAHS patients</w:t>
      </w:r>
      <w:r w:rsidRPr="00AD0ACE">
        <w:rPr>
          <w:rFonts w:ascii="Times New Roman" w:hAnsi="Times New Roman"/>
        </w:rPr>
        <w:t xml:space="preserve"> with IMT.</w:t>
      </w:r>
    </w:p>
    <w:p w:rsidR="0044479B" w:rsidRPr="00AD0ACE" w:rsidRDefault="0044479B" w:rsidP="00077278">
      <w:pPr>
        <w:ind w:firstLine="405"/>
        <w:jc w:val="left"/>
        <w:rPr>
          <w:rFonts w:ascii="Times New Roman" w:hAnsi="Times New Roman"/>
        </w:rPr>
      </w:pPr>
      <w:r w:rsidRPr="00AD0ACE">
        <w:rPr>
          <w:rFonts w:ascii="Times New Roman" w:hAnsi="Times New Roman"/>
          <w:b/>
          <w:kern w:val="0"/>
          <w:szCs w:val="21"/>
        </w:rPr>
        <w:t>Key words</w:t>
      </w:r>
      <w:r w:rsidRPr="00AD0ACE">
        <w:rPr>
          <w:rFonts w:ascii="Times New Roman" w:hAnsi="Times New Roman"/>
          <w:kern w:val="0"/>
          <w:szCs w:val="21"/>
        </w:rPr>
        <w:t xml:space="preserve">  obstructive sleep apnea syndrome; </w:t>
      </w:r>
      <w:r w:rsidRPr="00AD0ACE">
        <w:rPr>
          <w:rFonts w:ascii="Times New Roman" w:hAnsi="Times New Roman"/>
        </w:rPr>
        <w:t>pre-thrombotic state;  intima-madia thickness</w:t>
      </w:r>
    </w:p>
    <w:p w:rsidR="0044479B" w:rsidRPr="00077278" w:rsidRDefault="0044479B" w:rsidP="00077278">
      <w:pPr>
        <w:ind w:firstLine="405"/>
        <w:jc w:val="left"/>
      </w:pPr>
    </w:p>
    <w:p w:rsidR="0044479B" w:rsidRDefault="0044479B">
      <w:r>
        <w:t xml:space="preserve">     </w:t>
      </w:r>
      <w:r>
        <w:rPr>
          <w:rFonts w:hint="eastAsia"/>
        </w:rPr>
        <w:t>阻塞性睡眠呼吸暂停低通气综合征（</w:t>
      </w:r>
      <w:r w:rsidRPr="008F0FE5">
        <w:rPr>
          <w:rFonts w:ascii="??" w:hAnsi="??"/>
          <w:color w:val="333333"/>
          <w:szCs w:val="21"/>
        </w:rPr>
        <w:t>obstructive sleep apnea hyponea syndrome,OSAHS</w:t>
      </w:r>
      <w:r>
        <w:rPr>
          <w:rFonts w:hint="eastAsia"/>
        </w:rPr>
        <w:t>）是一种常见的睡眠障碍性疾病，由于其反复发作的低氧血症和睡眠的微觉醒，与高血压、冠心病等心血管疾病密切相关</w:t>
      </w:r>
      <w:r w:rsidRPr="000D01AB">
        <w:rPr>
          <w:b/>
          <w:color w:val="7F7F7F"/>
          <w:vertAlign w:val="superscript"/>
        </w:rPr>
        <w:t>[1]</w:t>
      </w:r>
      <w:r>
        <w:rPr>
          <w:rFonts w:hint="eastAsia"/>
        </w:rPr>
        <w:t>。血栓形成前状态（</w:t>
      </w:r>
      <w:r>
        <w:t>pre-thrombotic state</w:t>
      </w:r>
      <w:r>
        <w:rPr>
          <w:rFonts w:hint="eastAsia"/>
        </w:rPr>
        <w:t>，</w:t>
      </w:r>
      <w:r>
        <w:t>PTS</w:t>
      </w:r>
      <w:r>
        <w:rPr>
          <w:rFonts w:hint="eastAsia"/>
        </w:rPr>
        <w:t>）是血管内皮细胞、血小板及纤溶系统发生变化导致的有利于血栓形成的病理状态。现有的研究表明，</w:t>
      </w:r>
      <w:r>
        <w:t>PTS</w:t>
      </w:r>
      <w:r>
        <w:rPr>
          <w:rFonts w:hint="eastAsia"/>
        </w:rPr>
        <w:t>与冠心病等心血管疾病密切相关</w:t>
      </w:r>
      <w:r w:rsidRPr="000D01AB">
        <w:rPr>
          <w:color w:val="595959"/>
          <w:vertAlign w:val="superscript"/>
        </w:rPr>
        <w:t>[2]</w:t>
      </w:r>
      <w:r>
        <w:rPr>
          <w:rFonts w:hint="eastAsia"/>
        </w:rPr>
        <w:t>。颈动脉内膜中层厚度（</w:t>
      </w:r>
      <w:r>
        <w:t>intima-madia thickness</w:t>
      </w:r>
      <w:r>
        <w:rPr>
          <w:rFonts w:hint="eastAsia"/>
        </w:rPr>
        <w:t>，</w:t>
      </w:r>
      <w:r>
        <w:t>IMT</w:t>
      </w:r>
      <w:r>
        <w:rPr>
          <w:rFonts w:hint="eastAsia"/>
        </w:rPr>
        <w:t>）增厚是颈动脉硬化的早期征象，与冠心病密切相关。目前尚无有关</w:t>
      </w:r>
      <w:r>
        <w:t>OSAHS</w:t>
      </w:r>
      <w:r>
        <w:rPr>
          <w:rFonts w:hint="eastAsia"/>
        </w:rPr>
        <w:t>患者</w:t>
      </w:r>
      <w:r>
        <w:t>PTS</w:t>
      </w:r>
      <w:r>
        <w:rPr>
          <w:rFonts w:hint="eastAsia"/>
        </w:rPr>
        <w:t>分子标志物与</w:t>
      </w:r>
      <w:r>
        <w:t>IMT</w:t>
      </w:r>
      <w:r>
        <w:rPr>
          <w:rFonts w:hint="eastAsia"/>
        </w:rPr>
        <w:t>的相关研究，本研究旨在探讨两者在</w:t>
      </w:r>
      <w:r>
        <w:t>OSAHS</w:t>
      </w:r>
      <w:r>
        <w:rPr>
          <w:rFonts w:hint="eastAsia"/>
        </w:rPr>
        <w:t>患者中的关系。</w:t>
      </w:r>
    </w:p>
    <w:p w:rsidR="0044479B" w:rsidRDefault="0044479B" w:rsidP="006841C1">
      <w:pPr>
        <w:rPr>
          <w:rFonts w:ascii="Times New Roman" w:hAnsi="Times New Roman"/>
        </w:rPr>
      </w:pPr>
      <w:r>
        <w:rPr>
          <w:rFonts w:ascii="Times New Roman" w:hint="eastAsia"/>
        </w:rPr>
        <w:t>资料和方法</w:t>
      </w:r>
    </w:p>
    <w:p w:rsidR="0044479B" w:rsidRDefault="0044479B" w:rsidP="00DF51DB">
      <w:pPr>
        <w:autoSpaceDE w:val="0"/>
        <w:autoSpaceDN w:val="0"/>
        <w:adjustRightInd w:val="0"/>
        <w:ind w:firstLineChars="200" w:firstLine="31680"/>
        <w:rPr>
          <w:rFonts w:ascii="Times New Roman" w:hAnsi="Times New Roman"/>
          <w:kern w:val="0"/>
          <w:szCs w:val="21"/>
        </w:rPr>
      </w:pPr>
      <w:r>
        <w:rPr>
          <w:rFonts w:ascii="Times New Roman" w:hint="eastAsia"/>
        </w:rPr>
        <w:t>一般资料</w:t>
      </w:r>
      <w:r>
        <w:rPr>
          <w:rFonts w:ascii="Times New Roman"/>
        </w:rPr>
        <w:t xml:space="preserve"> </w:t>
      </w:r>
      <w:r>
        <w:rPr>
          <w:rFonts w:ascii="Times New Roman" w:hint="eastAsia"/>
          <w:kern w:val="0"/>
          <w:szCs w:val="21"/>
        </w:rPr>
        <w:t>选择</w:t>
      </w:r>
      <w:r>
        <w:rPr>
          <w:rFonts w:ascii="Times New Roman" w:hAnsi="Times New Roman"/>
          <w:kern w:val="0"/>
          <w:szCs w:val="21"/>
        </w:rPr>
        <w:t>2013</w:t>
      </w:r>
      <w:r>
        <w:rPr>
          <w:rFonts w:ascii="Times New Roman" w:hint="eastAsia"/>
          <w:kern w:val="0"/>
          <w:szCs w:val="21"/>
        </w:rPr>
        <w:t>年</w:t>
      </w:r>
      <w:r>
        <w:rPr>
          <w:rFonts w:ascii="Times New Roman" w:hAnsi="Times New Roman"/>
          <w:kern w:val="0"/>
          <w:szCs w:val="21"/>
        </w:rPr>
        <w:t>10</w:t>
      </w:r>
      <w:r>
        <w:rPr>
          <w:rFonts w:ascii="Times New Roman" w:hint="eastAsia"/>
          <w:kern w:val="0"/>
          <w:szCs w:val="21"/>
        </w:rPr>
        <w:t>月至</w:t>
      </w:r>
      <w:r>
        <w:rPr>
          <w:rFonts w:ascii="Times New Roman" w:hAnsi="Times New Roman"/>
          <w:kern w:val="0"/>
          <w:szCs w:val="21"/>
        </w:rPr>
        <w:t>2014</w:t>
      </w:r>
      <w:r>
        <w:rPr>
          <w:rFonts w:ascii="Times New Roman" w:hint="eastAsia"/>
          <w:kern w:val="0"/>
          <w:szCs w:val="21"/>
        </w:rPr>
        <w:t>年</w:t>
      </w:r>
      <w:r>
        <w:rPr>
          <w:rFonts w:ascii="Times New Roman" w:hAnsi="Times New Roman"/>
          <w:kern w:val="0"/>
          <w:szCs w:val="21"/>
        </w:rPr>
        <w:t>10</w:t>
      </w:r>
      <w:r>
        <w:rPr>
          <w:rFonts w:ascii="Times New Roman" w:hint="eastAsia"/>
          <w:kern w:val="0"/>
          <w:szCs w:val="21"/>
        </w:rPr>
        <w:t>月在我院呼吸睡眠门诊就诊</w:t>
      </w:r>
      <w:r>
        <w:rPr>
          <w:rFonts w:ascii="Times New Roman" w:hint="eastAsia"/>
          <w:szCs w:val="21"/>
        </w:rPr>
        <w:t>，经多导睡眠仪睡眠监测（</w:t>
      </w:r>
      <w:r>
        <w:rPr>
          <w:rFonts w:ascii="Times New Roman" w:hAnsi="Times New Roman"/>
          <w:szCs w:val="21"/>
        </w:rPr>
        <w:t>PSG</w:t>
      </w:r>
      <w:r>
        <w:rPr>
          <w:rFonts w:ascii="Times New Roman" w:hint="eastAsia"/>
          <w:szCs w:val="21"/>
        </w:rPr>
        <w:t>）确诊的</w:t>
      </w:r>
      <w:r>
        <w:rPr>
          <w:rFonts w:ascii="Times New Roman" w:hAnsi="Times New Roman"/>
          <w:szCs w:val="21"/>
        </w:rPr>
        <w:t>56</w:t>
      </w:r>
      <w:r>
        <w:rPr>
          <w:rFonts w:ascii="Times New Roman" w:hint="eastAsia"/>
          <w:szCs w:val="21"/>
        </w:rPr>
        <w:t>例男性</w:t>
      </w:r>
      <w:r>
        <w:rPr>
          <w:rFonts w:ascii="Times New Roman" w:hAnsi="Times New Roman"/>
          <w:szCs w:val="21"/>
        </w:rPr>
        <w:t>OSAHS</w:t>
      </w:r>
      <w:r>
        <w:rPr>
          <w:rFonts w:ascii="Times New Roman" w:hint="eastAsia"/>
          <w:szCs w:val="21"/>
        </w:rPr>
        <w:t>患者。</w:t>
      </w:r>
      <w:r>
        <w:rPr>
          <w:rFonts w:ascii="Times New Roman" w:hAnsi="Times New Roman"/>
          <w:kern w:val="0"/>
          <w:szCs w:val="21"/>
        </w:rPr>
        <w:t>OSAHS</w:t>
      </w:r>
      <w:r>
        <w:rPr>
          <w:rFonts w:ascii="Times New Roman" w:hint="eastAsia"/>
          <w:kern w:val="0"/>
          <w:szCs w:val="21"/>
        </w:rPr>
        <w:t>诊断依据中华医学会呼吸病学分会睡眠呼吸疾病学组诊断标准</w:t>
      </w:r>
      <w:r w:rsidRPr="000D01AB">
        <w:rPr>
          <w:color w:val="595959"/>
          <w:vertAlign w:val="superscript"/>
        </w:rPr>
        <w:t>[3]</w:t>
      </w:r>
      <w:r>
        <w:rPr>
          <w:rFonts w:ascii="Times New Roman" w:hint="eastAsia"/>
          <w:kern w:val="0"/>
          <w:szCs w:val="21"/>
        </w:rPr>
        <w:t>。同期选择健康体检</w:t>
      </w:r>
      <w:r>
        <w:rPr>
          <w:rFonts w:ascii="Times New Roman" w:hAnsi="Times New Roman"/>
          <w:kern w:val="0"/>
          <w:szCs w:val="21"/>
        </w:rPr>
        <w:t>PSG</w:t>
      </w:r>
      <w:r>
        <w:rPr>
          <w:rFonts w:ascii="Times New Roman" w:hint="eastAsia"/>
          <w:kern w:val="0"/>
          <w:szCs w:val="21"/>
        </w:rPr>
        <w:t>监测</w:t>
      </w:r>
      <w:r>
        <w:rPr>
          <w:rFonts w:ascii="Times New Roman" w:hint="eastAsia"/>
          <w:szCs w:val="21"/>
        </w:rPr>
        <w:t>睡眠呼吸暂停低通气指数</w:t>
      </w:r>
      <w:r>
        <w:rPr>
          <w:rFonts w:ascii="Times New Roman" w:hAnsi="Times New Roman"/>
          <w:szCs w:val="21"/>
        </w:rPr>
        <w:t>(Apnea hyponea index</w:t>
      </w:r>
      <w:r>
        <w:rPr>
          <w:rFonts w:ascii="Times New Roman" w:hint="eastAsia"/>
          <w:szCs w:val="21"/>
        </w:rPr>
        <w:t>，</w:t>
      </w:r>
      <w:r>
        <w:rPr>
          <w:rFonts w:ascii="Times New Roman" w:hAnsi="Times New Roman"/>
          <w:szCs w:val="21"/>
        </w:rPr>
        <w:t>AHI)</w:t>
      </w:r>
      <w:r>
        <w:rPr>
          <w:rFonts w:ascii="Times New Roman" w:hint="eastAsia"/>
          <w:szCs w:val="21"/>
        </w:rPr>
        <w:t>＜</w:t>
      </w:r>
      <w:r>
        <w:rPr>
          <w:rFonts w:ascii="Times New Roman" w:hAnsi="Times New Roman"/>
          <w:szCs w:val="21"/>
        </w:rPr>
        <w:t>5</w:t>
      </w:r>
      <w:r>
        <w:rPr>
          <w:rFonts w:ascii="Times New Roman" w:hint="eastAsia"/>
          <w:szCs w:val="21"/>
        </w:rPr>
        <w:t>，</w:t>
      </w:r>
      <w:r>
        <w:rPr>
          <w:rFonts w:ascii="Times New Roman" w:hint="eastAsia"/>
          <w:kern w:val="0"/>
          <w:szCs w:val="21"/>
        </w:rPr>
        <w:t>年龄、体质指数相匹配</w:t>
      </w:r>
      <w:r>
        <w:rPr>
          <w:rFonts w:ascii="Times New Roman" w:hint="eastAsia"/>
          <w:szCs w:val="21"/>
        </w:rPr>
        <w:t>的</w:t>
      </w:r>
      <w:r>
        <w:rPr>
          <w:rFonts w:ascii="Times New Roman" w:hAnsi="Times New Roman"/>
          <w:szCs w:val="21"/>
        </w:rPr>
        <w:t>28</w:t>
      </w:r>
      <w:r>
        <w:rPr>
          <w:rFonts w:ascii="Times New Roman" w:hint="eastAsia"/>
          <w:szCs w:val="21"/>
        </w:rPr>
        <w:t>例男性患者为对照组。两组年龄、体重指数差异均无统计学显著性。所有研究对象均排除糖尿病、高血压、冠心病、脑血管和周围血管疾病、周围动脉栓塞、严重肝肾功能不全及血液系统疾病，且</w:t>
      </w:r>
      <w:r>
        <w:rPr>
          <w:rFonts w:ascii="Times New Roman" w:hAnsi="Times New Roman"/>
          <w:szCs w:val="21"/>
        </w:rPr>
        <w:t>6</w:t>
      </w:r>
      <w:r>
        <w:rPr>
          <w:rFonts w:ascii="Times New Roman" w:hAnsi="Times New Roman" w:hint="eastAsia"/>
          <w:szCs w:val="21"/>
        </w:rPr>
        <w:t>个</w:t>
      </w:r>
      <w:r>
        <w:rPr>
          <w:rFonts w:ascii="Times New Roman" w:hint="eastAsia"/>
          <w:szCs w:val="21"/>
        </w:rPr>
        <w:t>月内无创伤、手术史</w:t>
      </w:r>
      <w:r>
        <w:rPr>
          <w:rFonts w:ascii="Times New Roman" w:hint="eastAsia"/>
          <w:kern w:val="0"/>
          <w:szCs w:val="21"/>
        </w:rPr>
        <w:t>。全部研究对象均取得知情同意书。</w:t>
      </w:r>
    </w:p>
    <w:p w:rsidR="0044479B" w:rsidRPr="004E0DDC" w:rsidRDefault="0044479B" w:rsidP="00DF51DB">
      <w:pPr>
        <w:autoSpaceDE w:val="0"/>
        <w:autoSpaceDN w:val="0"/>
        <w:adjustRightInd w:val="0"/>
        <w:ind w:firstLineChars="200" w:firstLine="31680"/>
        <w:rPr>
          <w:rFonts w:ascii="Times New Roman" w:hAnsi="Times New Roman"/>
          <w:kern w:val="0"/>
          <w:szCs w:val="21"/>
        </w:rPr>
      </w:pPr>
      <w:r>
        <w:rPr>
          <w:rFonts w:ascii="Times New Roman" w:hint="eastAsia"/>
          <w:kern w:val="0"/>
          <w:szCs w:val="21"/>
        </w:rPr>
        <w:t>方法</w:t>
      </w:r>
      <w:r>
        <w:rPr>
          <w:rFonts w:ascii="Times New Roman" w:hAnsi="Times New Roman"/>
          <w:kern w:val="0"/>
          <w:szCs w:val="21"/>
        </w:rPr>
        <w:t xml:space="preserve">  </w:t>
      </w:r>
      <w:r>
        <w:rPr>
          <w:rFonts w:ascii="Times New Roman" w:hint="eastAsia"/>
          <w:kern w:val="0"/>
          <w:szCs w:val="21"/>
        </w:rPr>
        <w:t>睡眠监测：所有研究对象</w:t>
      </w:r>
      <w:r w:rsidRPr="004E0DDC">
        <w:rPr>
          <w:rFonts w:ascii="Times New Roman" w:hint="eastAsia"/>
          <w:color w:val="404040"/>
          <w:szCs w:val="21"/>
        </w:rPr>
        <w:t>采用美国</w:t>
      </w:r>
      <w:r w:rsidRPr="004E0DDC">
        <w:rPr>
          <w:rFonts w:ascii="Times New Roman"/>
          <w:color w:val="404040"/>
          <w:szCs w:val="21"/>
        </w:rPr>
        <w:t>Respironics</w:t>
      </w:r>
      <w:r w:rsidRPr="004E0DDC">
        <w:rPr>
          <w:rFonts w:ascii="Times New Roman" w:hint="eastAsia"/>
          <w:color w:val="404040"/>
          <w:szCs w:val="21"/>
        </w:rPr>
        <w:t>公司生产的</w:t>
      </w:r>
      <w:r w:rsidRPr="004E0DDC">
        <w:rPr>
          <w:rFonts w:ascii="Times New Roman" w:hAnsi="Times New Roman"/>
          <w:color w:val="404040"/>
          <w:szCs w:val="21"/>
        </w:rPr>
        <w:t>PALICE5</w:t>
      </w:r>
      <w:r w:rsidRPr="004E0DDC">
        <w:rPr>
          <w:rFonts w:ascii="Times New Roman" w:hint="eastAsia"/>
          <w:color w:val="404040"/>
          <w:szCs w:val="21"/>
        </w:rPr>
        <w:t>多导睡眠监测仪</w:t>
      </w:r>
      <w:r>
        <w:rPr>
          <w:rFonts w:ascii="Times New Roman" w:hint="eastAsia"/>
          <w:szCs w:val="21"/>
        </w:rPr>
        <w:t>，进行脑电图、眼电图、口鼻气流、胸腹运动、心电图和指端脉氧血氧饱和度监测。监测前</w:t>
      </w:r>
      <w:r>
        <w:rPr>
          <w:rFonts w:ascii="Times New Roman" w:hAnsi="Times New Roman"/>
          <w:szCs w:val="21"/>
        </w:rPr>
        <w:t>12h</w:t>
      </w:r>
      <w:r>
        <w:rPr>
          <w:rFonts w:ascii="Times New Roman" w:hint="eastAsia"/>
          <w:szCs w:val="21"/>
        </w:rPr>
        <w:t>嘱受试者禁用镇静药物及酒、咖啡、浓茶等兴奋性饮料。监测睡眠平均时间大于</w:t>
      </w:r>
      <w:r>
        <w:rPr>
          <w:rFonts w:ascii="Times New Roman"/>
          <w:szCs w:val="21"/>
        </w:rPr>
        <w:t>7h</w:t>
      </w:r>
      <w:r>
        <w:rPr>
          <w:rFonts w:ascii="Times New Roman" w:hint="eastAsia"/>
          <w:szCs w:val="21"/>
        </w:rPr>
        <w:t>以上。一般检测：</w:t>
      </w:r>
      <w:r>
        <w:rPr>
          <w:rFonts w:ascii="Times New Roman" w:hAnsi="Times New Roman" w:hint="eastAsia"/>
          <w:szCs w:val="21"/>
        </w:rPr>
        <w:t>所有研究对象均于监测结束后晨醒</w:t>
      </w:r>
      <w:r>
        <w:rPr>
          <w:rFonts w:ascii="Times New Roman" w:hAnsi="Times New Roman"/>
          <w:szCs w:val="21"/>
        </w:rPr>
        <w:t>10min</w:t>
      </w:r>
      <w:r>
        <w:rPr>
          <w:rFonts w:ascii="Times New Roman" w:hAnsi="Times New Roman" w:hint="eastAsia"/>
          <w:szCs w:val="21"/>
        </w:rPr>
        <w:t>内取肘静脉血</w:t>
      </w:r>
      <w:r>
        <w:rPr>
          <w:rFonts w:ascii="Times New Roman" w:hAnsi="Times New Roman"/>
          <w:szCs w:val="21"/>
        </w:rPr>
        <w:t>10ml</w:t>
      </w:r>
      <w:r>
        <w:rPr>
          <w:rFonts w:ascii="Times New Roman" w:hAnsi="Times New Roman" w:hint="eastAsia"/>
          <w:szCs w:val="21"/>
        </w:rPr>
        <w:t>，</w:t>
      </w:r>
      <w:r>
        <w:rPr>
          <w:rFonts w:ascii="Times New Roman" w:hAnsi="Times New Roman"/>
          <w:szCs w:val="21"/>
        </w:rPr>
        <w:t>3000 r/min</w:t>
      </w:r>
      <w:r>
        <w:rPr>
          <w:rFonts w:ascii="Times New Roman" w:hAnsi="Times New Roman" w:hint="eastAsia"/>
          <w:szCs w:val="21"/>
        </w:rPr>
        <w:t>离心</w:t>
      </w:r>
      <w:r>
        <w:rPr>
          <w:rFonts w:ascii="Times New Roman" w:hAnsi="Times New Roman"/>
          <w:szCs w:val="21"/>
        </w:rPr>
        <w:t>20min</w:t>
      </w:r>
      <w:r>
        <w:rPr>
          <w:rFonts w:ascii="Times New Roman" w:hAnsi="Times New Roman" w:hint="eastAsia"/>
          <w:szCs w:val="21"/>
        </w:rPr>
        <w:t>分离血清和血浆，</w:t>
      </w:r>
      <w:r>
        <w:rPr>
          <w:rFonts w:ascii="Times New Roman" w:hAnsi="Times New Roman"/>
          <w:szCs w:val="21"/>
        </w:rPr>
        <w:t>-80</w:t>
      </w:r>
      <w:r>
        <w:rPr>
          <w:rFonts w:ascii="Times New Roman" w:hAnsi="宋体" w:hint="eastAsia"/>
          <w:szCs w:val="21"/>
        </w:rPr>
        <w:t>℃</w:t>
      </w:r>
      <w:r>
        <w:rPr>
          <w:rFonts w:ascii="Times New Roman" w:hAnsi="Times New Roman" w:hint="eastAsia"/>
          <w:szCs w:val="21"/>
        </w:rPr>
        <w:t>保存待检。空腹血糖（</w:t>
      </w:r>
      <w:r>
        <w:rPr>
          <w:rFonts w:ascii="Times New Roman" w:hAnsi="Times New Roman"/>
          <w:szCs w:val="21"/>
        </w:rPr>
        <w:t>FPG</w:t>
      </w:r>
      <w:r>
        <w:rPr>
          <w:rFonts w:ascii="Times New Roman" w:hAnsi="Times New Roman" w:hint="eastAsia"/>
          <w:szCs w:val="21"/>
        </w:rPr>
        <w:t>）和血脂（甘油三酯和总胆固醇）水平由我院检验科批量检测。</w:t>
      </w:r>
      <w:r>
        <w:rPr>
          <w:rFonts w:hint="eastAsia"/>
        </w:rPr>
        <w:t>血栓形成前状态（</w:t>
      </w:r>
      <w:r>
        <w:t>PTS</w:t>
      </w:r>
      <w:r>
        <w:rPr>
          <w:rFonts w:hint="eastAsia"/>
        </w:rPr>
        <w:t>）分子检测：</w:t>
      </w:r>
      <w:r>
        <w:t>PTS</w:t>
      </w:r>
      <w:r>
        <w:rPr>
          <w:rFonts w:hint="eastAsia"/>
        </w:rPr>
        <w:t>标志物包括</w:t>
      </w:r>
      <w:r>
        <w:t>:</w:t>
      </w:r>
      <w:r>
        <w:rPr>
          <w:rFonts w:hint="eastAsia"/>
        </w:rPr>
        <w:t>血小板颗粒膜蛋白</w:t>
      </w:r>
      <w:r>
        <w:t>-140</w:t>
      </w:r>
      <w:r>
        <w:rPr>
          <w:rFonts w:hint="eastAsia"/>
        </w:rPr>
        <w:t>（</w:t>
      </w:r>
      <w:r>
        <w:t>granular membrane protein</w:t>
      </w:r>
      <w:r>
        <w:rPr>
          <w:rFonts w:hint="eastAsia"/>
        </w:rPr>
        <w:t>，</w:t>
      </w:r>
      <w:r>
        <w:t>GMP-140</w:t>
      </w:r>
      <w:r>
        <w:rPr>
          <w:rFonts w:hint="eastAsia"/>
        </w:rPr>
        <w:t>），组织型纤溶酶原激活剂（</w:t>
      </w:r>
      <w:r>
        <w:t>tissue-type plasminogen</w:t>
      </w:r>
      <w:r>
        <w:rPr>
          <w:rFonts w:hint="eastAsia"/>
        </w:rPr>
        <w:t>，</w:t>
      </w:r>
      <w:r>
        <w:t>t-PA</w:t>
      </w:r>
      <w:r>
        <w:rPr>
          <w:rFonts w:hint="eastAsia"/>
        </w:rPr>
        <w:t>），血浆纤维蛋白原（</w:t>
      </w:r>
      <w:r>
        <w:t>fibrinogen</w:t>
      </w:r>
      <w:r>
        <w:rPr>
          <w:rFonts w:hint="eastAsia"/>
        </w:rPr>
        <w:t>，</w:t>
      </w:r>
      <w:r>
        <w:t>Fbg</w:t>
      </w:r>
      <w:r>
        <w:rPr>
          <w:rFonts w:hint="eastAsia"/>
        </w:rPr>
        <w:t>），血浆纤溶酶原激活物抑制剂</w:t>
      </w:r>
      <w:r>
        <w:t>1</w:t>
      </w:r>
      <w:r>
        <w:rPr>
          <w:rFonts w:hint="eastAsia"/>
        </w:rPr>
        <w:t>（</w:t>
      </w:r>
      <w:r>
        <w:t>plasminogen activator inhibitor-1</w:t>
      </w:r>
      <w:r>
        <w:rPr>
          <w:rFonts w:hint="eastAsia"/>
        </w:rPr>
        <w:t>，</w:t>
      </w:r>
      <w:r>
        <w:t>PAI-1</w:t>
      </w:r>
      <w:r>
        <w:rPr>
          <w:rFonts w:hint="eastAsia"/>
        </w:rPr>
        <w:t>），血清血管性血友病因子（</w:t>
      </w:r>
      <w:r>
        <w:t>von willebran factor</w:t>
      </w:r>
      <w:r>
        <w:rPr>
          <w:rFonts w:hint="eastAsia"/>
        </w:rPr>
        <w:t>，</w:t>
      </w:r>
      <w:r>
        <w:t>vWF</w:t>
      </w:r>
      <w:r>
        <w:rPr>
          <w:rFonts w:hint="eastAsia"/>
        </w:rPr>
        <w:t>）和抗凝血酶</w:t>
      </w:r>
      <w:r w:rsidRPr="00A31A63">
        <w:rPr>
          <w:rFonts w:hint="eastAsia"/>
        </w:rPr>
        <w:t>Ⅲ（</w:t>
      </w:r>
      <w:r w:rsidRPr="00A31A63">
        <w:t xml:space="preserve">antithrombin </w:t>
      </w:r>
      <w:r w:rsidRPr="00A31A63">
        <w:rPr>
          <w:rFonts w:hint="eastAsia"/>
        </w:rPr>
        <w:t>Ⅲ，</w:t>
      </w:r>
      <w:r w:rsidRPr="00A31A63">
        <w:t>AT</w:t>
      </w:r>
      <w:r w:rsidRPr="00A31A63">
        <w:rPr>
          <w:rFonts w:hint="eastAsia"/>
        </w:rPr>
        <w:t>Ⅲ）</w:t>
      </w:r>
      <w:r>
        <w:rPr>
          <w:rFonts w:hint="eastAsia"/>
        </w:rPr>
        <w:t>。</w:t>
      </w:r>
      <w:r>
        <w:rPr>
          <w:rFonts w:ascii="Times New Roman" w:hint="eastAsia"/>
          <w:szCs w:val="21"/>
        </w:rPr>
        <w:t>采用酶联免疫吸附法测定血清</w:t>
      </w:r>
      <w:r>
        <w:rPr>
          <w:rFonts w:ascii="Times New Roman" w:hAnsi="Times New Roman"/>
          <w:szCs w:val="21"/>
        </w:rPr>
        <w:t>GMP-140</w:t>
      </w:r>
      <w:r>
        <w:rPr>
          <w:rFonts w:ascii="Times New Roman" w:hAnsi="Times New Roman" w:hint="eastAsia"/>
          <w:szCs w:val="21"/>
        </w:rPr>
        <w:t>、</w:t>
      </w:r>
      <w:r>
        <w:rPr>
          <w:rFonts w:ascii="Times New Roman" w:hAnsi="Times New Roman"/>
          <w:szCs w:val="21"/>
        </w:rPr>
        <w:t>vWF</w:t>
      </w:r>
      <w:r>
        <w:rPr>
          <w:rFonts w:ascii="Times New Roman" w:hAnsi="Times New Roman" w:hint="eastAsia"/>
          <w:szCs w:val="21"/>
        </w:rPr>
        <w:t>和</w:t>
      </w:r>
      <w:r w:rsidRPr="00A31A63">
        <w:t>AT</w:t>
      </w:r>
      <w:r w:rsidRPr="00A31A63">
        <w:rPr>
          <w:rFonts w:hint="eastAsia"/>
        </w:rPr>
        <w:t>Ⅲ</w:t>
      </w:r>
      <w:r>
        <w:rPr>
          <w:rFonts w:ascii="Times New Roman" w:hint="eastAsia"/>
          <w:szCs w:val="21"/>
        </w:rPr>
        <w:t>水平（试剂盒由美国</w:t>
      </w:r>
      <w:r>
        <w:rPr>
          <w:rFonts w:ascii="Times New Roman" w:hAnsi="Times New Roman"/>
          <w:szCs w:val="21"/>
        </w:rPr>
        <w:t>R&amp;D</w:t>
      </w:r>
      <w:r>
        <w:rPr>
          <w:rFonts w:ascii="Times New Roman" w:hint="eastAsia"/>
          <w:szCs w:val="21"/>
        </w:rPr>
        <w:t>公司提供），采用底物发光法测定</w:t>
      </w:r>
      <w:r>
        <w:rPr>
          <w:rFonts w:ascii="Times New Roman"/>
          <w:szCs w:val="21"/>
        </w:rPr>
        <w:t>t-PA</w:t>
      </w:r>
      <w:r>
        <w:rPr>
          <w:rFonts w:ascii="Times New Roman" w:hint="eastAsia"/>
          <w:szCs w:val="21"/>
        </w:rPr>
        <w:t>和</w:t>
      </w:r>
      <w:r>
        <w:rPr>
          <w:rFonts w:ascii="Times New Roman"/>
          <w:szCs w:val="21"/>
        </w:rPr>
        <w:t>PAI-1</w:t>
      </w:r>
      <w:r>
        <w:rPr>
          <w:rFonts w:ascii="Times New Roman" w:hint="eastAsia"/>
          <w:szCs w:val="21"/>
        </w:rPr>
        <w:t>水平（试剂盒由美国</w:t>
      </w:r>
      <w:r>
        <w:rPr>
          <w:rFonts w:ascii="Times New Roman" w:hAnsi="Times New Roman"/>
          <w:szCs w:val="21"/>
        </w:rPr>
        <w:t>Beckman</w:t>
      </w:r>
      <w:r>
        <w:rPr>
          <w:rFonts w:ascii="Times New Roman" w:hint="eastAsia"/>
          <w:szCs w:val="21"/>
        </w:rPr>
        <w:t>公司提供），采用免疫比浊法测定</w:t>
      </w:r>
      <w:r>
        <w:rPr>
          <w:rFonts w:ascii="Times New Roman"/>
          <w:szCs w:val="21"/>
        </w:rPr>
        <w:t>Fbg</w:t>
      </w:r>
      <w:r>
        <w:rPr>
          <w:rFonts w:ascii="Times New Roman" w:hint="eastAsia"/>
          <w:szCs w:val="21"/>
        </w:rPr>
        <w:t>水平（试剂盒由南京建成生物有限公司提供）。</w:t>
      </w:r>
      <w:r w:rsidRPr="00EC1C9B">
        <w:rPr>
          <w:rFonts w:ascii="Times New Roman" w:hint="eastAsia"/>
          <w:szCs w:val="21"/>
        </w:rPr>
        <w:t>颈动脉内膜中层厚度超声检测：应用彩色多普勒超声由专科医师分别测量左、右颈总动脉远端分叉</w:t>
      </w:r>
      <w:r w:rsidRPr="00EC1C9B">
        <w:rPr>
          <w:rFonts w:ascii="Times New Roman"/>
          <w:szCs w:val="21"/>
        </w:rPr>
        <w:t>1 cm</w:t>
      </w:r>
      <w:r w:rsidRPr="00EC1C9B">
        <w:rPr>
          <w:rFonts w:ascii="Times New Roman" w:hint="eastAsia"/>
          <w:szCs w:val="21"/>
        </w:rPr>
        <w:t>处、颈内动脉起始端、颈动脉窦部</w:t>
      </w:r>
      <w:r w:rsidRPr="00EC1C9B">
        <w:rPr>
          <w:rFonts w:ascii="Times New Roman"/>
          <w:szCs w:val="21"/>
        </w:rPr>
        <w:t>3</w:t>
      </w:r>
      <w:r w:rsidRPr="00EC1C9B">
        <w:rPr>
          <w:rFonts w:ascii="Times New Roman" w:hint="eastAsia"/>
          <w:szCs w:val="21"/>
        </w:rPr>
        <w:t>个位置的内膜中层厚度，取测得值平均值。</w:t>
      </w:r>
    </w:p>
    <w:p w:rsidR="0044479B" w:rsidRDefault="0044479B" w:rsidP="00DF51DB">
      <w:pPr>
        <w:ind w:firstLineChars="200" w:firstLine="31680"/>
        <w:rPr>
          <w:rFonts w:ascii="Times New Roman" w:hAnsi="Times New Roman"/>
          <w:sz w:val="24"/>
          <w:szCs w:val="24"/>
        </w:rPr>
      </w:pPr>
      <w:r>
        <w:rPr>
          <w:rFonts w:ascii="Times New Roman" w:hint="eastAsia"/>
          <w:szCs w:val="21"/>
        </w:rPr>
        <w:t>统计学处理</w:t>
      </w:r>
      <w:r>
        <w:rPr>
          <w:rFonts w:ascii="Times New Roman"/>
          <w:szCs w:val="21"/>
        </w:rPr>
        <w:t xml:space="preserve">  </w:t>
      </w:r>
      <w:r>
        <w:rPr>
          <w:rFonts w:ascii="Times New Roman" w:hint="eastAsia"/>
          <w:kern w:val="0"/>
          <w:szCs w:val="21"/>
        </w:rPr>
        <w:t>运用统计软件</w:t>
      </w:r>
      <w:r>
        <w:rPr>
          <w:rFonts w:ascii="Times New Roman" w:hAnsi="Times New Roman"/>
          <w:kern w:val="0"/>
          <w:szCs w:val="21"/>
        </w:rPr>
        <w:t>SPSS11.0</w:t>
      </w:r>
      <w:r>
        <w:rPr>
          <w:rFonts w:ascii="Times New Roman" w:hint="eastAsia"/>
          <w:kern w:val="0"/>
          <w:szCs w:val="21"/>
        </w:rPr>
        <w:t>进行分析。</w:t>
      </w:r>
      <w:r>
        <w:rPr>
          <w:rFonts w:ascii="Times New Roman" w:hint="eastAsia"/>
          <w:szCs w:val="21"/>
        </w:rPr>
        <w:t>计量资料均以均数</w:t>
      </w:r>
      <w:r>
        <w:rPr>
          <w:rFonts w:ascii="Times New Roman" w:hAnsi="Times New Roman"/>
          <w:szCs w:val="21"/>
        </w:rPr>
        <w:t>±</w:t>
      </w:r>
      <w:r>
        <w:rPr>
          <w:rFonts w:ascii="Times New Roman" w:hint="eastAsia"/>
          <w:szCs w:val="21"/>
        </w:rPr>
        <w:t>标准差</w:t>
      </w:r>
      <w:r>
        <w:rPr>
          <w:rFonts w:ascii="Times New Roman" w:hint="eastAsia"/>
          <w:szCs w:val="21"/>
          <w:lang w:val="en-GB"/>
        </w:rPr>
        <w:t>（</w:t>
      </w:r>
      <w:r w:rsidRPr="00527909">
        <w:rPr>
          <w:rFonts w:ascii="Times New Roman" w:hAnsi="Times New Roman"/>
          <w:i/>
          <w:kern w:val="0"/>
          <w:position w:val="-6"/>
          <w:szCs w:val="21"/>
        </w:rPr>
        <w:object w:dxaOrig="5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12.75pt;mso-position-horizontal-relative:page;mso-position-vertical-relative:page" o:ole="">
            <v:imagedata r:id="rId6" o:title=""/>
          </v:shape>
          <o:OLEObject Type="Embed" ProgID="Equation.3" ShapeID="_x0000_i1025" DrawAspect="Content" ObjectID="_1490984660" r:id="rId7"/>
        </w:object>
      </w:r>
      <w:r>
        <w:rPr>
          <w:rFonts w:ascii="Times New Roman" w:hint="eastAsia"/>
          <w:bCs/>
          <w:szCs w:val="21"/>
          <w:lang w:val="en-GB"/>
        </w:rPr>
        <w:t>）</w:t>
      </w:r>
      <w:r>
        <w:rPr>
          <w:rFonts w:ascii="Times New Roman" w:hint="eastAsia"/>
          <w:kern w:val="0"/>
          <w:szCs w:val="21"/>
        </w:rPr>
        <w:t>表示，所有数据均行正态分布检验。包括独立样本</w:t>
      </w:r>
      <w:r>
        <w:rPr>
          <w:rFonts w:ascii="Times New Roman" w:hAnsi="Times New Roman"/>
          <w:i/>
          <w:kern w:val="0"/>
          <w:szCs w:val="21"/>
        </w:rPr>
        <w:t>t</w:t>
      </w:r>
      <w:r>
        <w:rPr>
          <w:rFonts w:ascii="Times New Roman" w:hAnsi="Times New Roman" w:hint="eastAsia"/>
          <w:kern w:val="0"/>
          <w:szCs w:val="21"/>
        </w:rPr>
        <w:t>检验、</w:t>
      </w:r>
      <w:r>
        <w:rPr>
          <w:rFonts w:ascii="Times New Roman" w:hAnsi="Times New Roman"/>
          <w:kern w:val="0"/>
          <w:szCs w:val="21"/>
        </w:rPr>
        <w:t>Pearson</w:t>
      </w:r>
      <w:r>
        <w:rPr>
          <w:rFonts w:ascii="Times New Roman" w:hAnsi="Times New Roman" w:hint="eastAsia"/>
          <w:kern w:val="0"/>
          <w:szCs w:val="21"/>
        </w:rPr>
        <w:t>相关分析和多元线性回归分析。以</w:t>
      </w:r>
      <w:r>
        <w:rPr>
          <w:rFonts w:ascii="Times New Roman" w:hAnsi="Times New Roman"/>
          <w:i/>
          <w:kern w:val="0"/>
          <w:szCs w:val="21"/>
        </w:rPr>
        <w:t>P</w:t>
      </w:r>
      <w:r>
        <w:rPr>
          <w:rFonts w:ascii="Times New Roman" w:hAnsi="Times New Roman" w:hint="eastAsia"/>
          <w:kern w:val="0"/>
          <w:szCs w:val="21"/>
        </w:rPr>
        <w:t>＜</w:t>
      </w:r>
      <w:r>
        <w:rPr>
          <w:rFonts w:ascii="Times New Roman" w:hAnsi="Times New Roman"/>
          <w:kern w:val="0"/>
          <w:szCs w:val="21"/>
        </w:rPr>
        <w:t>0.05</w:t>
      </w:r>
      <w:r>
        <w:rPr>
          <w:rFonts w:ascii="Times New Roman" w:hAnsi="Times New Roman" w:hint="eastAsia"/>
          <w:kern w:val="0"/>
          <w:szCs w:val="21"/>
        </w:rPr>
        <w:t>具有统计学意义。</w:t>
      </w:r>
    </w:p>
    <w:p w:rsidR="0044479B" w:rsidRDefault="0044479B" w:rsidP="006841C1">
      <w:pPr>
        <w:rPr>
          <w:rFonts w:ascii="Times New Roman"/>
          <w:szCs w:val="21"/>
        </w:rPr>
      </w:pPr>
    </w:p>
    <w:p w:rsidR="0044479B" w:rsidRDefault="0044479B" w:rsidP="006841C1">
      <w:pPr>
        <w:rPr>
          <w:rFonts w:ascii="Times New Roman"/>
          <w:szCs w:val="21"/>
        </w:rPr>
      </w:pPr>
      <w:r>
        <w:rPr>
          <w:rFonts w:ascii="Times New Roman" w:hint="eastAsia"/>
          <w:szCs w:val="21"/>
        </w:rPr>
        <w:t>结</w:t>
      </w:r>
      <w:r>
        <w:rPr>
          <w:rFonts w:ascii="Times New Roman"/>
          <w:szCs w:val="21"/>
        </w:rPr>
        <w:t xml:space="preserve">  </w:t>
      </w:r>
      <w:r>
        <w:rPr>
          <w:rFonts w:ascii="Times New Roman" w:hint="eastAsia"/>
          <w:szCs w:val="21"/>
        </w:rPr>
        <w:t>果</w:t>
      </w:r>
    </w:p>
    <w:p w:rsidR="0044479B" w:rsidRDefault="0044479B" w:rsidP="00DF51DB">
      <w:pPr>
        <w:ind w:firstLineChars="200" w:firstLine="31680"/>
        <w:rPr>
          <w:rFonts w:ascii="Times New Roman"/>
          <w:szCs w:val="21"/>
        </w:rPr>
      </w:pPr>
      <w:r>
        <w:rPr>
          <w:rFonts w:ascii="Times New Roman"/>
          <w:szCs w:val="21"/>
        </w:rPr>
        <w:t>OSAHS</w:t>
      </w:r>
      <w:r>
        <w:rPr>
          <w:rFonts w:ascii="Times New Roman" w:hint="eastAsia"/>
          <w:szCs w:val="21"/>
        </w:rPr>
        <w:t>组和对照组一般临床资料比较</w:t>
      </w:r>
      <w:r>
        <w:rPr>
          <w:rFonts w:ascii="Times New Roman"/>
          <w:szCs w:val="21"/>
        </w:rPr>
        <w:t xml:space="preserve">  </w:t>
      </w:r>
      <w:r>
        <w:rPr>
          <w:rFonts w:ascii="Times New Roman" w:hint="eastAsia"/>
          <w:szCs w:val="21"/>
        </w:rPr>
        <w:t>两组受试者年龄、体质指数、血清胆固醇比较差异无统计学意义（</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w:t>
      </w:r>
      <w:r>
        <w:rPr>
          <w:rFonts w:ascii="Times New Roman"/>
          <w:szCs w:val="21"/>
        </w:rPr>
        <w:t>OSAHS</w:t>
      </w:r>
      <w:r>
        <w:rPr>
          <w:rFonts w:ascii="Times New Roman" w:hint="eastAsia"/>
          <w:szCs w:val="21"/>
        </w:rPr>
        <w:t>组患者</w:t>
      </w:r>
      <w:r>
        <w:rPr>
          <w:rFonts w:ascii="Times New Roman"/>
          <w:szCs w:val="21"/>
        </w:rPr>
        <w:t>AHI</w:t>
      </w:r>
      <w:r>
        <w:rPr>
          <w:rFonts w:ascii="Times New Roman" w:hint="eastAsia"/>
          <w:szCs w:val="21"/>
        </w:rPr>
        <w:t>指数、空腹血糖、三油甘脂均高于对照组（</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或</w:t>
      </w:r>
      <w:r>
        <w:rPr>
          <w:rFonts w:ascii="Times New Roman"/>
          <w:szCs w:val="21"/>
        </w:rPr>
        <w:t>P</w:t>
      </w:r>
      <w:r>
        <w:rPr>
          <w:rFonts w:ascii="Times New Roman" w:hint="eastAsia"/>
          <w:szCs w:val="21"/>
        </w:rPr>
        <w:t>＜</w:t>
      </w:r>
      <w:r>
        <w:rPr>
          <w:rFonts w:ascii="Times New Roman"/>
          <w:szCs w:val="21"/>
        </w:rPr>
        <w:t>0.01</w:t>
      </w:r>
      <w:r>
        <w:rPr>
          <w:rFonts w:ascii="Times New Roman" w:hint="eastAsia"/>
          <w:szCs w:val="21"/>
        </w:rPr>
        <w:t>）；其平均血氧饱和度（</w:t>
      </w:r>
      <w:r>
        <w:rPr>
          <w:rFonts w:ascii="Times New Roman"/>
          <w:szCs w:val="21"/>
        </w:rPr>
        <w:t>MSaO</w:t>
      </w:r>
      <w:r w:rsidRPr="006217BC">
        <w:rPr>
          <w:rFonts w:ascii="Times New Roman"/>
          <w:szCs w:val="21"/>
          <w:vertAlign w:val="subscript"/>
        </w:rPr>
        <w:t>2</w:t>
      </w:r>
      <w:r>
        <w:rPr>
          <w:rFonts w:ascii="Times New Roman" w:hint="eastAsia"/>
          <w:szCs w:val="21"/>
        </w:rPr>
        <w:t>）和最低血氧饱和度（</w:t>
      </w:r>
      <w:r>
        <w:rPr>
          <w:rFonts w:ascii="Times New Roman"/>
          <w:szCs w:val="21"/>
        </w:rPr>
        <w:t>LSaO</w:t>
      </w:r>
      <w:r w:rsidRPr="006217BC">
        <w:rPr>
          <w:rFonts w:ascii="Times New Roman"/>
          <w:szCs w:val="21"/>
          <w:vertAlign w:val="subscript"/>
        </w:rPr>
        <w:t>2</w:t>
      </w:r>
      <w:r>
        <w:rPr>
          <w:rFonts w:ascii="Times New Roman" w:hint="eastAsia"/>
          <w:szCs w:val="21"/>
        </w:rPr>
        <w:t>）均低于对照组。结果见表</w:t>
      </w:r>
      <w:r>
        <w:rPr>
          <w:rFonts w:ascii="Times New Roman"/>
          <w:szCs w:val="21"/>
        </w:rPr>
        <w:t>1</w:t>
      </w:r>
      <w:r>
        <w:rPr>
          <w:rFonts w:ascii="Times New Roman" w:hint="eastAsia"/>
          <w:szCs w:val="21"/>
        </w:rPr>
        <w:t>。</w:t>
      </w:r>
    </w:p>
    <w:p w:rsidR="0044479B" w:rsidRDefault="0044479B" w:rsidP="008F0E13">
      <w:pPr>
        <w:jc w:val="center"/>
        <w:rPr>
          <w:rFonts w:ascii="Times New Roman" w:hAnsi="Times New Roman"/>
          <w:bCs/>
          <w:szCs w:val="21"/>
          <w:lang w:val="en-GB"/>
        </w:rPr>
      </w:pPr>
      <w:r>
        <w:rPr>
          <w:rFonts w:ascii="Times New Roman" w:hint="eastAsia"/>
          <w:szCs w:val="21"/>
        </w:rPr>
        <w:t>表</w:t>
      </w:r>
      <w:r>
        <w:rPr>
          <w:rFonts w:ascii="Times New Roman"/>
          <w:szCs w:val="21"/>
        </w:rPr>
        <w:t>1 OSAHS</w:t>
      </w:r>
      <w:r>
        <w:rPr>
          <w:rFonts w:ascii="Times New Roman" w:hint="eastAsia"/>
          <w:szCs w:val="21"/>
        </w:rPr>
        <w:t>组和对照组一般临床资料比较</w:t>
      </w:r>
      <w:r>
        <w:rPr>
          <w:rFonts w:ascii="Times New Roman" w:hAnsi="Times New Roman" w:hint="eastAsia"/>
          <w:szCs w:val="21"/>
          <w:lang w:val="en-GB"/>
        </w:rPr>
        <w:t>（</w:t>
      </w:r>
      <w:r w:rsidRPr="00A23F48">
        <w:rPr>
          <w:rFonts w:ascii="Times New Roman" w:hAnsi="Times New Roman"/>
          <w:kern w:val="0"/>
          <w:position w:val="-6"/>
          <w:szCs w:val="21"/>
        </w:rPr>
        <w:object w:dxaOrig="540" w:dyaOrig="260">
          <v:shape id="_x0000_i1026" type="#_x0000_t75" style="width:27pt;height:12.75pt;mso-position-horizontal-relative:page;mso-position-vertical-relative:page" o:ole="">
            <v:imagedata r:id="rId6" o:title=""/>
          </v:shape>
          <o:OLEObject Type="Embed" ProgID="Equation.3" ShapeID="_x0000_i1026" DrawAspect="Content" ObjectID="_1490984661" r:id="rId8"/>
        </w:object>
      </w:r>
      <w:r>
        <w:rPr>
          <w:rFonts w:ascii="Times New Roman" w:hAnsi="Times New Roman" w:hint="eastAsia"/>
          <w:bCs/>
          <w:szCs w:val="21"/>
          <w:lang w:val="en-GB"/>
        </w:rPr>
        <w:t>）</w:t>
      </w:r>
    </w:p>
    <w:tbl>
      <w:tblPr>
        <w:tblW w:w="5137" w:type="pct"/>
        <w:tblLayout w:type="fixed"/>
        <w:tblLook w:val="00A0"/>
      </w:tblPr>
      <w:tblGrid>
        <w:gridCol w:w="967"/>
        <w:gridCol w:w="427"/>
        <w:gridCol w:w="848"/>
        <w:gridCol w:w="849"/>
        <w:gridCol w:w="986"/>
        <w:gridCol w:w="993"/>
        <w:gridCol w:w="851"/>
        <w:gridCol w:w="991"/>
        <w:gridCol w:w="858"/>
        <w:gridCol w:w="986"/>
      </w:tblGrid>
      <w:tr w:rsidR="0044479B" w:rsidRPr="00725237" w:rsidTr="00725237">
        <w:tc>
          <w:tcPr>
            <w:tcW w:w="552"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组</w:t>
            </w:r>
            <w:r w:rsidRPr="00725237">
              <w:rPr>
                <w:rFonts w:ascii="Times New Roman"/>
                <w:sz w:val="15"/>
                <w:szCs w:val="15"/>
              </w:rPr>
              <w:t xml:space="preserve"> </w:t>
            </w:r>
            <w:r w:rsidRPr="00725237">
              <w:rPr>
                <w:rFonts w:ascii="Times New Roman" w:hint="eastAsia"/>
                <w:sz w:val="15"/>
                <w:szCs w:val="15"/>
              </w:rPr>
              <w:t>别</w:t>
            </w:r>
          </w:p>
        </w:tc>
        <w:tc>
          <w:tcPr>
            <w:tcW w:w="244"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例数</w:t>
            </w:r>
          </w:p>
        </w:tc>
        <w:tc>
          <w:tcPr>
            <w:tcW w:w="484"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年龄</w:t>
            </w:r>
          </w:p>
          <w:p w:rsidR="0044479B" w:rsidRPr="00725237" w:rsidRDefault="0044479B" w:rsidP="00725237">
            <w:pPr>
              <w:jc w:val="center"/>
              <w:rPr>
                <w:rFonts w:ascii="Times New Roman"/>
                <w:sz w:val="15"/>
                <w:szCs w:val="15"/>
              </w:rPr>
            </w:pPr>
            <w:r w:rsidRPr="00725237">
              <w:rPr>
                <w:rFonts w:ascii="Times New Roman" w:hint="eastAsia"/>
                <w:sz w:val="15"/>
                <w:szCs w:val="15"/>
              </w:rPr>
              <w:t>（岁）</w:t>
            </w:r>
          </w:p>
        </w:tc>
        <w:tc>
          <w:tcPr>
            <w:tcW w:w="485" w:type="pct"/>
            <w:tcBorders>
              <w:top w:val="single" w:sz="4" w:space="0" w:color="000000"/>
              <w:bottom w:val="single" w:sz="4" w:space="0" w:color="000000"/>
            </w:tcBorders>
            <w:vAlign w:val="center"/>
          </w:tcPr>
          <w:p w:rsidR="0044479B" w:rsidRPr="00725237" w:rsidRDefault="0044479B" w:rsidP="0044479B">
            <w:pPr>
              <w:ind w:firstLineChars="100" w:firstLine="31680"/>
              <w:jc w:val="center"/>
              <w:rPr>
                <w:rFonts w:ascii="Times New Roman"/>
                <w:sz w:val="15"/>
                <w:szCs w:val="15"/>
              </w:rPr>
            </w:pPr>
            <w:r w:rsidRPr="00725237">
              <w:rPr>
                <w:rFonts w:ascii="Times New Roman"/>
                <w:sz w:val="15"/>
                <w:szCs w:val="15"/>
              </w:rPr>
              <w:t>BMI</w:t>
            </w:r>
            <w:r w:rsidRPr="00725237">
              <w:rPr>
                <w:rFonts w:ascii="Times New Roman" w:hint="eastAsia"/>
                <w:sz w:val="15"/>
                <w:szCs w:val="15"/>
              </w:rPr>
              <w:t>（</w:t>
            </w:r>
            <w:r w:rsidRPr="00725237">
              <w:rPr>
                <w:rFonts w:ascii="Times New Roman"/>
                <w:sz w:val="15"/>
                <w:szCs w:val="15"/>
              </w:rPr>
              <w:t>kg/m</w:t>
            </w:r>
            <w:r w:rsidRPr="00725237">
              <w:rPr>
                <w:rFonts w:ascii="Times New Roman"/>
                <w:sz w:val="15"/>
                <w:szCs w:val="15"/>
                <w:vertAlign w:val="superscript"/>
              </w:rPr>
              <w:t>2</w:t>
            </w:r>
            <w:r w:rsidRPr="00725237">
              <w:rPr>
                <w:rFonts w:ascii="Times New Roman" w:hint="eastAsia"/>
                <w:sz w:val="15"/>
                <w:szCs w:val="15"/>
              </w:rPr>
              <w:t>）</w:t>
            </w:r>
          </w:p>
        </w:tc>
        <w:tc>
          <w:tcPr>
            <w:tcW w:w="563"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AHI</w:t>
            </w:r>
          </w:p>
          <w:p w:rsidR="0044479B" w:rsidRPr="00725237" w:rsidRDefault="0044479B" w:rsidP="00725237">
            <w:pPr>
              <w:jc w:val="center"/>
              <w:rPr>
                <w:rFonts w:ascii="Times New Roman"/>
                <w:sz w:val="15"/>
                <w:szCs w:val="15"/>
              </w:rPr>
            </w:pPr>
            <w:r w:rsidRPr="00725237">
              <w:rPr>
                <w:rFonts w:ascii="Times New Roman"/>
                <w:sz w:val="15"/>
                <w:szCs w:val="15"/>
              </w:rPr>
              <w:t>(</w:t>
            </w:r>
            <w:r w:rsidRPr="00725237">
              <w:rPr>
                <w:rFonts w:ascii="Times New Roman" w:hint="eastAsia"/>
                <w:sz w:val="15"/>
                <w:szCs w:val="15"/>
              </w:rPr>
              <w:t>次</w:t>
            </w:r>
            <w:r w:rsidRPr="00725237">
              <w:rPr>
                <w:rFonts w:ascii="Times New Roman"/>
                <w:sz w:val="15"/>
                <w:szCs w:val="15"/>
              </w:rPr>
              <w:t>/h)</w:t>
            </w:r>
          </w:p>
        </w:tc>
        <w:tc>
          <w:tcPr>
            <w:tcW w:w="567"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vertAlign w:val="subscript"/>
              </w:rPr>
            </w:pPr>
            <w:r w:rsidRPr="00725237">
              <w:rPr>
                <w:rFonts w:ascii="Times New Roman"/>
                <w:sz w:val="15"/>
                <w:szCs w:val="15"/>
              </w:rPr>
              <w:t>LSaO</w:t>
            </w:r>
            <w:r w:rsidRPr="00725237">
              <w:rPr>
                <w:rFonts w:ascii="Times New Roman"/>
                <w:sz w:val="15"/>
                <w:szCs w:val="15"/>
                <w:vertAlign w:val="subscript"/>
              </w:rPr>
              <w:t>2</w:t>
            </w:r>
          </w:p>
          <w:p w:rsidR="0044479B" w:rsidRPr="00725237" w:rsidRDefault="0044479B" w:rsidP="00725237">
            <w:pPr>
              <w:jc w:val="center"/>
              <w:rPr>
                <w:rFonts w:ascii="Times New Roman"/>
                <w:sz w:val="15"/>
                <w:szCs w:val="15"/>
              </w:rPr>
            </w:pPr>
            <w:r w:rsidRPr="00725237">
              <w:rPr>
                <w:rFonts w:ascii="Times New Roman" w:hint="eastAsia"/>
                <w:sz w:val="15"/>
                <w:szCs w:val="15"/>
              </w:rPr>
              <w:t>（</w:t>
            </w:r>
            <w:r w:rsidRPr="00725237">
              <w:rPr>
                <w:rFonts w:ascii="Times New Roman"/>
                <w:sz w:val="15"/>
                <w:szCs w:val="15"/>
              </w:rPr>
              <w:t>%</w:t>
            </w:r>
            <w:r w:rsidRPr="00725237">
              <w:rPr>
                <w:rFonts w:ascii="Times New Roman" w:hint="eastAsia"/>
                <w:sz w:val="15"/>
                <w:szCs w:val="15"/>
              </w:rPr>
              <w:t>）</w:t>
            </w:r>
          </w:p>
        </w:tc>
        <w:tc>
          <w:tcPr>
            <w:tcW w:w="486"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MSaO</w:t>
            </w:r>
            <w:r w:rsidRPr="00725237">
              <w:rPr>
                <w:rFonts w:ascii="Times New Roman"/>
                <w:sz w:val="15"/>
                <w:szCs w:val="15"/>
                <w:vertAlign w:val="subscript"/>
              </w:rPr>
              <w:t>2</w:t>
            </w:r>
            <w:r w:rsidRPr="00725237">
              <w:rPr>
                <w:rFonts w:ascii="Times New Roman" w:hint="eastAsia"/>
                <w:sz w:val="15"/>
                <w:szCs w:val="15"/>
              </w:rPr>
              <w:t>（</w:t>
            </w:r>
            <w:r w:rsidRPr="00725237">
              <w:rPr>
                <w:rFonts w:ascii="Times New Roman"/>
                <w:sz w:val="15"/>
                <w:szCs w:val="15"/>
              </w:rPr>
              <w:t>%</w:t>
            </w:r>
            <w:r w:rsidRPr="00725237">
              <w:rPr>
                <w:rFonts w:ascii="Times New Roman" w:hint="eastAsia"/>
                <w:sz w:val="15"/>
                <w:szCs w:val="15"/>
              </w:rPr>
              <w:t>）</w:t>
            </w:r>
          </w:p>
        </w:tc>
        <w:tc>
          <w:tcPr>
            <w:tcW w:w="566"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空腹血糖</w:t>
            </w:r>
            <w:r w:rsidRPr="00725237">
              <w:rPr>
                <w:rFonts w:ascii="Times New Roman"/>
                <w:sz w:val="15"/>
                <w:szCs w:val="15"/>
              </w:rPr>
              <w:t>(mmol/L)</w:t>
            </w:r>
          </w:p>
        </w:tc>
        <w:tc>
          <w:tcPr>
            <w:tcW w:w="490"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总胆固醇</w:t>
            </w:r>
            <w:r w:rsidRPr="00725237">
              <w:rPr>
                <w:rFonts w:ascii="Times New Roman"/>
                <w:sz w:val="15"/>
                <w:szCs w:val="15"/>
              </w:rPr>
              <w:t>(mmol/L)</w:t>
            </w:r>
          </w:p>
        </w:tc>
        <w:tc>
          <w:tcPr>
            <w:tcW w:w="563"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甘油三酯</w:t>
            </w:r>
            <w:r w:rsidRPr="00725237">
              <w:rPr>
                <w:rFonts w:ascii="Times New Roman"/>
                <w:sz w:val="15"/>
                <w:szCs w:val="15"/>
              </w:rPr>
              <w:t>(mmol/L)</w:t>
            </w:r>
          </w:p>
        </w:tc>
      </w:tr>
      <w:tr w:rsidR="0044479B" w:rsidRPr="00725237" w:rsidTr="00725237">
        <w:tc>
          <w:tcPr>
            <w:tcW w:w="552"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OSAHS</w:t>
            </w:r>
            <w:r w:rsidRPr="00725237">
              <w:rPr>
                <w:rFonts w:ascii="Times New Roman" w:hint="eastAsia"/>
                <w:sz w:val="15"/>
                <w:szCs w:val="15"/>
              </w:rPr>
              <w:t>组</w:t>
            </w:r>
          </w:p>
        </w:tc>
        <w:tc>
          <w:tcPr>
            <w:tcW w:w="244"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56</w:t>
            </w:r>
          </w:p>
        </w:tc>
        <w:tc>
          <w:tcPr>
            <w:tcW w:w="484" w:type="pct"/>
            <w:tcBorders>
              <w:top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44.8±9.5</w:t>
            </w:r>
          </w:p>
        </w:tc>
        <w:tc>
          <w:tcPr>
            <w:tcW w:w="485" w:type="pct"/>
            <w:tcBorders>
              <w:top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25.4±3.8</w:t>
            </w:r>
          </w:p>
        </w:tc>
        <w:tc>
          <w:tcPr>
            <w:tcW w:w="563" w:type="pct"/>
            <w:tcBorders>
              <w:top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29.5±10.9</w:t>
            </w:r>
          </w:p>
        </w:tc>
        <w:tc>
          <w:tcPr>
            <w:tcW w:w="567" w:type="pct"/>
            <w:tcBorders>
              <w:top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76.9±14.9</w:t>
            </w:r>
          </w:p>
        </w:tc>
        <w:tc>
          <w:tcPr>
            <w:tcW w:w="486" w:type="pct"/>
            <w:tcBorders>
              <w:top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91.1±9.5</w:t>
            </w:r>
            <w:r w:rsidRPr="00725237">
              <w:rPr>
                <w:rFonts w:ascii="Times New Roman" w:hAnsi="Times New Roman"/>
                <w:kern w:val="0"/>
                <w:sz w:val="15"/>
                <w:szCs w:val="15"/>
                <w:vertAlign w:val="superscript"/>
              </w:rPr>
              <w:t xml:space="preserve"> </w:t>
            </w:r>
          </w:p>
        </w:tc>
        <w:tc>
          <w:tcPr>
            <w:tcW w:w="566"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5.75</w:t>
            </w:r>
            <w:r w:rsidRPr="00725237">
              <w:rPr>
                <w:rFonts w:ascii="Times New Roman" w:hAnsi="Times New Roman"/>
                <w:kern w:val="0"/>
                <w:sz w:val="15"/>
                <w:szCs w:val="15"/>
              </w:rPr>
              <w:t>±2.30</w:t>
            </w:r>
          </w:p>
        </w:tc>
        <w:tc>
          <w:tcPr>
            <w:tcW w:w="490"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4.69</w:t>
            </w:r>
            <w:r w:rsidRPr="00725237">
              <w:rPr>
                <w:rFonts w:ascii="Times New Roman" w:hAnsi="Times New Roman"/>
                <w:kern w:val="0"/>
                <w:sz w:val="15"/>
                <w:szCs w:val="15"/>
              </w:rPr>
              <w:t>±1.24</w:t>
            </w:r>
          </w:p>
        </w:tc>
        <w:tc>
          <w:tcPr>
            <w:tcW w:w="563"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2.48</w:t>
            </w:r>
            <w:r w:rsidRPr="00725237">
              <w:rPr>
                <w:rFonts w:ascii="Times New Roman" w:hAnsi="Times New Roman"/>
                <w:kern w:val="0"/>
                <w:sz w:val="15"/>
                <w:szCs w:val="15"/>
              </w:rPr>
              <w:t>±1.07</w:t>
            </w:r>
          </w:p>
        </w:tc>
      </w:tr>
      <w:tr w:rsidR="0044479B" w:rsidRPr="00725237" w:rsidTr="00725237">
        <w:tc>
          <w:tcPr>
            <w:tcW w:w="552"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对照组</w:t>
            </w:r>
          </w:p>
        </w:tc>
        <w:tc>
          <w:tcPr>
            <w:tcW w:w="244"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28</w:t>
            </w:r>
          </w:p>
        </w:tc>
        <w:tc>
          <w:tcPr>
            <w:tcW w:w="484" w:type="pct"/>
            <w:tcBorders>
              <w:bottom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45.7±10.5</w:t>
            </w:r>
          </w:p>
        </w:tc>
        <w:tc>
          <w:tcPr>
            <w:tcW w:w="485" w:type="pct"/>
            <w:tcBorders>
              <w:bottom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26.3±4.4</w:t>
            </w:r>
          </w:p>
        </w:tc>
        <w:tc>
          <w:tcPr>
            <w:tcW w:w="563" w:type="pct"/>
            <w:tcBorders>
              <w:bottom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3.7±1.2</w:t>
            </w:r>
            <w:r w:rsidRPr="00725237">
              <w:rPr>
                <w:rFonts w:ascii="Times New Roman" w:hAnsi="Times New Roman"/>
                <w:kern w:val="0"/>
                <w:sz w:val="15"/>
                <w:szCs w:val="15"/>
                <w:vertAlign w:val="superscript"/>
              </w:rPr>
              <w:t>a</w:t>
            </w:r>
          </w:p>
        </w:tc>
        <w:tc>
          <w:tcPr>
            <w:tcW w:w="567" w:type="pct"/>
            <w:tcBorders>
              <w:bottom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94.1±3.8</w:t>
            </w:r>
            <w:r w:rsidRPr="00725237">
              <w:rPr>
                <w:rFonts w:ascii="Times New Roman" w:hAnsi="Times New Roman"/>
                <w:kern w:val="0"/>
                <w:sz w:val="15"/>
                <w:szCs w:val="15"/>
                <w:vertAlign w:val="superscript"/>
              </w:rPr>
              <w:t>a</w:t>
            </w:r>
          </w:p>
        </w:tc>
        <w:tc>
          <w:tcPr>
            <w:tcW w:w="486" w:type="pct"/>
            <w:tcBorders>
              <w:bottom w:val="single" w:sz="4" w:space="0" w:color="000000"/>
            </w:tcBorders>
            <w:vAlign w:val="center"/>
          </w:tcPr>
          <w:p w:rsidR="0044479B" w:rsidRPr="00725237" w:rsidRDefault="0044479B" w:rsidP="00725237">
            <w:pPr>
              <w:jc w:val="center"/>
              <w:rPr>
                <w:rFonts w:ascii="Times New Roman" w:hAnsi="Times New Roman"/>
                <w:kern w:val="0"/>
                <w:sz w:val="15"/>
                <w:szCs w:val="15"/>
              </w:rPr>
            </w:pPr>
            <w:r w:rsidRPr="00725237">
              <w:rPr>
                <w:rFonts w:ascii="Times New Roman" w:hAnsi="Times New Roman"/>
                <w:kern w:val="0"/>
                <w:sz w:val="15"/>
                <w:szCs w:val="15"/>
              </w:rPr>
              <w:t>95.1±5.8</w:t>
            </w:r>
            <w:r w:rsidRPr="00725237">
              <w:rPr>
                <w:rFonts w:ascii="Times New Roman" w:hAnsi="Times New Roman"/>
                <w:kern w:val="0"/>
                <w:sz w:val="15"/>
                <w:szCs w:val="15"/>
                <w:vertAlign w:val="superscript"/>
              </w:rPr>
              <w:t>a</w:t>
            </w:r>
          </w:p>
        </w:tc>
        <w:tc>
          <w:tcPr>
            <w:tcW w:w="566"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5.19</w:t>
            </w:r>
            <w:r w:rsidRPr="00725237">
              <w:rPr>
                <w:rFonts w:ascii="Times New Roman" w:hAnsi="Times New Roman"/>
                <w:kern w:val="0"/>
                <w:sz w:val="15"/>
                <w:szCs w:val="15"/>
              </w:rPr>
              <w:t>±1.31</w:t>
            </w:r>
            <w:r w:rsidRPr="00725237">
              <w:rPr>
                <w:rFonts w:ascii="Times New Roman" w:hAnsi="Times New Roman"/>
                <w:kern w:val="0"/>
                <w:sz w:val="15"/>
                <w:szCs w:val="15"/>
                <w:vertAlign w:val="superscript"/>
              </w:rPr>
              <w:t xml:space="preserve"> a</w:t>
            </w:r>
          </w:p>
        </w:tc>
        <w:tc>
          <w:tcPr>
            <w:tcW w:w="490"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4.58</w:t>
            </w:r>
            <w:r w:rsidRPr="00725237">
              <w:rPr>
                <w:rFonts w:ascii="Times New Roman" w:hAnsi="Times New Roman"/>
                <w:kern w:val="0"/>
                <w:sz w:val="15"/>
                <w:szCs w:val="15"/>
              </w:rPr>
              <w:t>±1.18</w:t>
            </w:r>
          </w:p>
        </w:tc>
        <w:tc>
          <w:tcPr>
            <w:tcW w:w="563"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1.71</w:t>
            </w:r>
            <w:r w:rsidRPr="00725237">
              <w:rPr>
                <w:rFonts w:ascii="Times New Roman" w:hAnsi="Times New Roman"/>
                <w:kern w:val="0"/>
                <w:sz w:val="15"/>
                <w:szCs w:val="15"/>
              </w:rPr>
              <w:t>±0.86</w:t>
            </w:r>
            <w:r w:rsidRPr="00725237">
              <w:rPr>
                <w:rFonts w:ascii="Times New Roman" w:hAnsi="Times New Roman"/>
                <w:kern w:val="0"/>
                <w:sz w:val="15"/>
                <w:szCs w:val="15"/>
                <w:vertAlign w:val="superscript"/>
              </w:rPr>
              <w:t xml:space="preserve"> a</w:t>
            </w:r>
          </w:p>
        </w:tc>
      </w:tr>
    </w:tbl>
    <w:p w:rsidR="0044479B" w:rsidRPr="001E0234" w:rsidRDefault="0044479B">
      <w:pPr>
        <w:rPr>
          <w:rFonts w:ascii="Times New Roman"/>
          <w:sz w:val="15"/>
          <w:szCs w:val="15"/>
        </w:rPr>
      </w:pPr>
      <w:r w:rsidRPr="001E0234">
        <w:rPr>
          <w:rFonts w:ascii="Times New Roman" w:hint="eastAsia"/>
          <w:sz w:val="15"/>
          <w:szCs w:val="15"/>
        </w:rPr>
        <w:t>注：与</w:t>
      </w:r>
      <w:r w:rsidRPr="001E0234">
        <w:rPr>
          <w:rFonts w:ascii="Times New Roman"/>
          <w:sz w:val="15"/>
          <w:szCs w:val="15"/>
        </w:rPr>
        <w:t>OSAHS</w:t>
      </w:r>
      <w:r w:rsidRPr="001E0234">
        <w:rPr>
          <w:rFonts w:ascii="Times New Roman" w:hint="eastAsia"/>
          <w:sz w:val="15"/>
          <w:szCs w:val="15"/>
        </w:rPr>
        <w:t>组比较，</w:t>
      </w:r>
      <w:r w:rsidRPr="001E0234">
        <w:rPr>
          <w:rFonts w:ascii="Times New Roman"/>
          <w:sz w:val="15"/>
          <w:szCs w:val="15"/>
          <w:vertAlign w:val="superscript"/>
        </w:rPr>
        <w:t>a</w:t>
      </w:r>
      <w:r w:rsidRPr="001E0234">
        <w:rPr>
          <w:rFonts w:ascii="Times New Roman"/>
          <w:sz w:val="15"/>
          <w:szCs w:val="15"/>
        </w:rPr>
        <w:t>P</w:t>
      </w:r>
      <w:r w:rsidRPr="001E0234">
        <w:rPr>
          <w:rFonts w:ascii="Times New Roman" w:hint="eastAsia"/>
          <w:sz w:val="15"/>
          <w:szCs w:val="15"/>
        </w:rPr>
        <w:t>＜</w:t>
      </w:r>
      <w:r w:rsidRPr="001E0234">
        <w:rPr>
          <w:rFonts w:ascii="Times New Roman"/>
          <w:sz w:val="15"/>
          <w:szCs w:val="15"/>
        </w:rPr>
        <w:t>0.05</w:t>
      </w:r>
      <w:r w:rsidRPr="001E0234">
        <w:rPr>
          <w:rFonts w:ascii="Times New Roman" w:hint="eastAsia"/>
          <w:sz w:val="15"/>
          <w:szCs w:val="15"/>
        </w:rPr>
        <w:t>或＜</w:t>
      </w:r>
      <w:r>
        <w:rPr>
          <w:rFonts w:ascii="Times New Roman"/>
          <w:sz w:val="15"/>
          <w:szCs w:val="15"/>
        </w:rPr>
        <w:t>0.01</w:t>
      </w:r>
      <w:r>
        <w:rPr>
          <w:rFonts w:ascii="Times New Roman" w:hint="eastAsia"/>
          <w:sz w:val="15"/>
          <w:szCs w:val="15"/>
        </w:rPr>
        <w:t>。</w:t>
      </w:r>
    </w:p>
    <w:p w:rsidR="0044479B" w:rsidRDefault="0044479B" w:rsidP="00DF51DB">
      <w:pPr>
        <w:ind w:firstLineChars="200" w:firstLine="31680"/>
        <w:rPr>
          <w:rFonts w:ascii="Times New Roman"/>
          <w:szCs w:val="21"/>
        </w:rPr>
      </w:pPr>
      <w:r>
        <w:rPr>
          <w:rFonts w:ascii="Times New Roman"/>
          <w:szCs w:val="21"/>
        </w:rPr>
        <w:t>OSAHS</w:t>
      </w:r>
      <w:r>
        <w:rPr>
          <w:rFonts w:ascii="Times New Roman" w:hint="eastAsia"/>
          <w:szCs w:val="21"/>
        </w:rPr>
        <w:t>组血清</w:t>
      </w:r>
      <w:r>
        <w:rPr>
          <w:rFonts w:hint="eastAsia"/>
        </w:rPr>
        <w:t>血栓形成前状态分子水平和</w:t>
      </w:r>
      <w:r w:rsidRPr="00EC1C9B">
        <w:rPr>
          <w:rFonts w:ascii="Times New Roman" w:hint="eastAsia"/>
          <w:szCs w:val="21"/>
        </w:rPr>
        <w:t>颈动脉内膜中层厚度</w:t>
      </w:r>
      <w:r>
        <w:rPr>
          <w:rFonts w:ascii="Times New Roman" w:hint="eastAsia"/>
          <w:szCs w:val="21"/>
        </w:rPr>
        <w:t>（</w:t>
      </w:r>
      <w:r>
        <w:rPr>
          <w:rFonts w:ascii="Times New Roman"/>
          <w:szCs w:val="21"/>
        </w:rPr>
        <w:t>IMT</w:t>
      </w:r>
      <w:r>
        <w:rPr>
          <w:rFonts w:ascii="Times New Roman" w:hint="eastAsia"/>
          <w:szCs w:val="21"/>
        </w:rPr>
        <w:t>）比较</w:t>
      </w:r>
      <w:r>
        <w:rPr>
          <w:rFonts w:ascii="Times New Roman"/>
          <w:szCs w:val="21"/>
        </w:rPr>
        <w:t xml:space="preserve">  </w:t>
      </w:r>
      <w:r>
        <w:rPr>
          <w:rFonts w:ascii="Times New Roman" w:hint="eastAsia"/>
          <w:szCs w:val="21"/>
        </w:rPr>
        <w:t>结果显示，</w:t>
      </w:r>
      <w:r>
        <w:rPr>
          <w:rFonts w:ascii="Times New Roman"/>
          <w:szCs w:val="21"/>
        </w:rPr>
        <w:t>OSAHS</w:t>
      </w:r>
      <w:r>
        <w:rPr>
          <w:rFonts w:ascii="Times New Roman" w:hint="eastAsia"/>
          <w:szCs w:val="21"/>
        </w:rPr>
        <w:t>组血清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rPr>
          <w:rFonts w:ascii="Times New Roman"/>
          <w:szCs w:val="21"/>
        </w:rPr>
        <w:t>Fbg</w:t>
      </w:r>
      <w:r>
        <w:rPr>
          <w:rFonts w:ascii="Times New Roman" w:hint="eastAsia"/>
          <w:szCs w:val="21"/>
        </w:rPr>
        <w:t>、</w:t>
      </w:r>
      <w:r>
        <w:rPr>
          <w:rFonts w:ascii="Times New Roman"/>
          <w:szCs w:val="21"/>
        </w:rPr>
        <w:t>PAI-1</w:t>
      </w:r>
      <w:r>
        <w:rPr>
          <w:rFonts w:ascii="Times New Roman" w:hint="eastAsia"/>
          <w:szCs w:val="21"/>
        </w:rPr>
        <w:t>水平高于对照组；血清</w:t>
      </w:r>
      <w:r>
        <w:rPr>
          <w:rFonts w:ascii="Times New Roman"/>
          <w:szCs w:val="21"/>
        </w:rPr>
        <w:t>AT</w:t>
      </w:r>
      <w:r w:rsidRPr="00A31A63">
        <w:rPr>
          <w:rFonts w:hint="eastAsia"/>
        </w:rPr>
        <w:t>Ⅲ</w:t>
      </w:r>
      <w:r>
        <w:rPr>
          <w:rFonts w:hint="eastAsia"/>
        </w:rPr>
        <w:t>、</w:t>
      </w:r>
      <w:r>
        <w:t>t-PA</w:t>
      </w:r>
      <w:r>
        <w:rPr>
          <w:rFonts w:hint="eastAsia"/>
        </w:rPr>
        <w:t>水平低于对照组；颈动脉内膜中层厚度高于对照组；</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或</w:t>
      </w:r>
      <w:r>
        <w:rPr>
          <w:rFonts w:ascii="Times New Roman"/>
          <w:szCs w:val="21"/>
        </w:rPr>
        <w:t>P</w:t>
      </w:r>
      <w:r>
        <w:rPr>
          <w:rFonts w:ascii="Times New Roman" w:hint="eastAsia"/>
          <w:szCs w:val="21"/>
        </w:rPr>
        <w:t>＜</w:t>
      </w:r>
      <w:r>
        <w:rPr>
          <w:rFonts w:ascii="Times New Roman"/>
          <w:szCs w:val="21"/>
        </w:rPr>
        <w:t>0.01</w:t>
      </w:r>
      <w:r>
        <w:rPr>
          <w:rFonts w:ascii="Times New Roman" w:hint="eastAsia"/>
          <w:szCs w:val="21"/>
        </w:rPr>
        <w:t>。结果见表</w:t>
      </w:r>
      <w:r>
        <w:rPr>
          <w:rFonts w:ascii="Times New Roman"/>
          <w:szCs w:val="21"/>
        </w:rPr>
        <w:t>2</w:t>
      </w:r>
      <w:r>
        <w:rPr>
          <w:rFonts w:ascii="Times New Roman" w:hint="eastAsia"/>
          <w:szCs w:val="21"/>
        </w:rPr>
        <w:t>。</w:t>
      </w:r>
    </w:p>
    <w:p w:rsidR="0044479B" w:rsidRDefault="0044479B" w:rsidP="008F0E13">
      <w:pPr>
        <w:jc w:val="center"/>
      </w:pPr>
      <w:r>
        <w:rPr>
          <w:rFonts w:ascii="Times New Roman" w:hint="eastAsia"/>
          <w:szCs w:val="21"/>
        </w:rPr>
        <w:t>表</w:t>
      </w:r>
      <w:r>
        <w:rPr>
          <w:rFonts w:ascii="Times New Roman"/>
          <w:szCs w:val="21"/>
        </w:rPr>
        <w:t>2 OSAHS</w:t>
      </w:r>
      <w:r>
        <w:rPr>
          <w:rFonts w:ascii="Times New Roman" w:hint="eastAsia"/>
          <w:szCs w:val="21"/>
        </w:rPr>
        <w:t>组血清</w:t>
      </w:r>
      <w:r>
        <w:rPr>
          <w:rFonts w:hint="eastAsia"/>
        </w:rPr>
        <w:t>血栓形成前状态分子标志物和</w:t>
      </w:r>
      <w:r>
        <w:t>IMT</w:t>
      </w:r>
      <w:r>
        <w:rPr>
          <w:rFonts w:hint="eastAsia"/>
        </w:rPr>
        <w:t>比较</w:t>
      </w:r>
    </w:p>
    <w:tbl>
      <w:tblPr>
        <w:tblW w:w="5000" w:type="pct"/>
        <w:tblLook w:val="00A0"/>
      </w:tblPr>
      <w:tblGrid>
        <w:gridCol w:w="1052"/>
        <w:gridCol w:w="605"/>
        <w:gridCol w:w="966"/>
        <w:gridCol w:w="1055"/>
        <w:gridCol w:w="879"/>
        <w:gridCol w:w="883"/>
        <w:gridCol w:w="1142"/>
        <w:gridCol w:w="883"/>
        <w:gridCol w:w="1057"/>
      </w:tblGrid>
      <w:tr w:rsidR="0044479B" w:rsidRPr="00725237" w:rsidTr="00725237">
        <w:tc>
          <w:tcPr>
            <w:tcW w:w="617"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组</w:t>
            </w:r>
            <w:r w:rsidRPr="00725237">
              <w:rPr>
                <w:rFonts w:ascii="Times New Roman"/>
                <w:sz w:val="15"/>
                <w:szCs w:val="15"/>
              </w:rPr>
              <w:t xml:space="preserve"> </w:t>
            </w:r>
            <w:r w:rsidRPr="00725237">
              <w:rPr>
                <w:rFonts w:ascii="Times New Roman" w:hint="eastAsia"/>
                <w:sz w:val="15"/>
                <w:szCs w:val="15"/>
              </w:rPr>
              <w:t>别</w:t>
            </w:r>
          </w:p>
        </w:tc>
        <w:tc>
          <w:tcPr>
            <w:tcW w:w="355"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例数</w:t>
            </w:r>
          </w:p>
        </w:tc>
        <w:tc>
          <w:tcPr>
            <w:tcW w:w="567"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GMP-140</w:t>
            </w:r>
          </w:p>
          <w:p w:rsidR="0044479B" w:rsidRPr="00725237" w:rsidRDefault="0044479B" w:rsidP="00725237">
            <w:pPr>
              <w:jc w:val="center"/>
              <w:rPr>
                <w:rFonts w:ascii="Times New Roman"/>
                <w:sz w:val="15"/>
                <w:szCs w:val="15"/>
              </w:rPr>
            </w:pPr>
            <w:r w:rsidRPr="00725237">
              <w:rPr>
                <w:rFonts w:ascii="Times New Roman"/>
                <w:sz w:val="15"/>
                <w:szCs w:val="15"/>
              </w:rPr>
              <w:t>(ug/L)</w:t>
            </w:r>
          </w:p>
        </w:tc>
        <w:tc>
          <w:tcPr>
            <w:tcW w:w="619"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vWF</w:t>
            </w:r>
          </w:p>
          <w:p w:rsidR="0044479B" w:rsidRPr="00725237" w:rsidRDefault="0044479B" w:rsidP="00725237">
            <w:pPr>
              <w:jc w:val="center"/>
              <w:rPr>
                <w:rFonts w:ascii="Times New Roman"/>
                <w:sz w:val="15"/>
                <w:szCs w:val="15"/>
              </w:rPr>
            </w:pPr>
            <w:r w:rsidRPr="00725237">
              <w:rPr>
                <w:rFonts w:ascii="Times New Roman"/>
                <w:sz w:val="15"/>
                <w:szCs w:val="15"/>
              </w:rPr>
              <w:t>(ug/L)</w:t>
            </w:r>
          </w:p>
        </w:tc>
        <w:tc>
          <w:tcPr>
            <w:tcW w:w="516"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Fbg</w:t>
            </w:r>
          </w:p>
          <w:p w:rsidR="0044479B" w:rsidRPr="00725237" w:rsidRDefault="0044479B" w:rsidP="00725237">
            <w:pPr>
              <w:jc w:val="center"/>
              <w:rPr>
                <w:rFonts w:ascii="Times New Roman"/>
                <w:sz w:val="15"/>
                <w:szCs w:val="15"/>
              </w:rPr>
            </w:pPr>
            <w:r w:rsidRPr="00725237">
              <w:rPr>
                <w:rFonts w:ascii="Times New Roman"/>
                <w:sz w:val="15"/>
                <w:szCs w:val="15"/>
              </w:rPr>
              <w:t>(g/L)</w:t>
            </w:r>
          </w:p>
        </w:tc>
        <w:tc>
          <w:tcPr>
            <w:tcW w:w="518"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PAI-1</w:t>
            </w:r>
          </w:p>
          <w:p w:rsidR="0044479B" w:rsidRPr="00725237" w:rsidRDefault="0044479B" w:rsidP="00725237">
            <w:pPr>
              <w:jc w:val="center"/>
              <w:rPr>
                <w:rFonts w:ascii="Times New Roman"/>
                <w:sz w:val="15"/>
                <w:szCs w:val="15"/>
              </w:rPr>
            </w:pPr>
            <w:r w:rsidRPr="00725237">
              <w:rPr>
                <w:rFonts w:ascii="Times New Roman"/>
                <w:sz w:val="15"/>
                <w:szCs w:val="15"/>
              </w:rPr>
              <w:t>(AU/L)</w:t>
            </w:r>
          </w:p>
        </w:tc>
        <w:tc>
          <w:tcPr>
            <w:tcW w:w="670" w:type="pct"/>
            <w:tcBorders>
              <w:top w:val="single" w:sz="4" w:space="0" w:color="000000"/>
              <w:bottom w:val="single" w:sz="4" w:space="0" w:color="000000"/>
            </w:tcBorders>
            <w:vAlign w:val="center"/>
          </w:tcPr>
          <w:p w:rsidR="0044479B" w:rsidRPr="00725237" w:rsidRDefault="0044479B" w:rsidP="00725237">
            <w:pPr>
              <w:jc w:val="center"/>
              <w:rPr>
                <w:sz w:val="15"/>
                <w:szCs w:val="15"/>
              </w:rPr>
            </w:pPr>
            <w:r w:rsidRPr="00725237">
              <w:rPr>
                <w:rFonts w:ascii="Times New Roman"/>
                <w:sz w:val="15"/>
                <w:szCs w:val="15"/>
              </w:rPr>
              <w:t>AT</w:t>
            </w:r>
            <w:r w:rsidRPr="00725237">
              <w:rPr>
                <w:rFonts w:hint="eastAsia"/>
                <w:sz w:val="15"/>
                <w:szCs w:val="15"/>
              </w:rPr>
              <w:t>Ⅲ</w:t>
            </w:r>
          </w:p>
          <w:p w:rsidR="0044479B" w:rsidRPr="00725237" w:rsidRDefault="0044479B" w:rsidP="00725237">
            <w:pPr>
              <w:jc w:val="center"/>
              <w:rPr>
                <w:rFonts w:ascii="Times New Roman"/>
                <w:sz w:val="15"/>
                <w:szCs w:val="15"/>
              </w:rPr>
            </w:pPr>
            <w:r w:rsidRPr="00725237">
              <w:rPr>
                <w:rFonts w:ascii="Times New Roman"/>
                <w:sz w:val="15"/>
                <w:szCs w:val="15"/>
              </w:rPr>
              <w:t>(mg/L)</w:t>
            </w:r>
          </w:p>
        </w:tc>
        <w:tc>
          <w:tcPr>
            <w:tcW w:w="518"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t-PA</w:t>
            </w:r>
          </w:p>
          <w:p w:rsidR="0044479B" w:rsidRPr="00725237" w:rsidRDefault="0044479B" w:rsidP="00725237">
            <w:pPr>
              <w:jc w:val="center"/>
              <w:rPr>
                <w:rFonts w:ascii="Times New Roman"/>
                <w:sz w:val="15"/>
                <w:szCs w:val="15"/>
              </w:rPr>
            </w:pPr>
            <w:r w:rsidRPr="00725237">
              <w:rPr>
                <w:rFonts w:ascii="Times New Roman"/>
                <w:sz w:val="15"/>
                <w:szCs w:val="15"/>
              </w:rPr>
              <w:t>(U/L)</w:t>
            </w:r>
          </w:p>
        </w:tc>
        <w:tc>
          <w:tcPr>
            <w:tcW w:w="621" w:type="pct"/>
            <w:tcBorders>
              <w:top w:val="single" w:sz="4" w:space="0" w:color="000000"/>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IMT</w:t>
            </w:r>
          </w:p>
          <w:p w:rsidR="0044479B" w:rsidRPr="00725237" w:rsidRDefault="0044479B" w:rsidP="00725237">
            <w:pPr>
              <w:jc w:val="center"/>
              <w:rPr>
                <w:rFonts w:ascii="Times New Roman"/>
                <w:sz w:val="15"/>
                <w:szCs w:val="15"/>
              </w:rPr>
            </w:pPr>
            <w:r w:rsidRPr="00725237">
              <w:rPr>
                <w:rFonts w:ascii="Times New Roman"/>
                <w:sz w:val="15"/>
                <w:szCs w:val="15"/>
              </w:rPr>
              <w:t>(mm)</w:t>
            </w:r>
          </w:p>
        </w:tc>
      </w:tr>
      <w:tr w:rsidR="0044479B" w:rsidRPr="00725237" w:rsidTr="00725237">
        <w:tc>
          <w:tcPr>
            <w:tcW w:w="617"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OSAHS</w:t>
            </w:r>
            <w:r w:rsidRPr="00725237">
              <w:rPr>
                <w:rFonts w:ascii="Times New Roman" w:hint="eastAsia"/>
                <w:sz w:val="15"/>
                <w:szCs w:val="15"/>
              </w:rPr>
              <w:t>组</w:t>
            </w:r>
          </w:p>
        </w:tc>
        <w:tc>
          <w:tcPr>
            <w:tcW w:w="355"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56</w:t>
            </w:r>
          </w:p>
        </w:tc>
        <w:tc>
          <w:tcPr>
            <w:tcW w:w="567"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17.4</w:t>
            </w:r>
            <w:r w:rsidRPr="00725237">
              <w:rPr>
                <w:rFonts w:ascii="Times New Roman" w:hAnsi="Times New Roman"/>
                <w:kern w:val="0"/>
                <w:sz w:val="15"/>
                <w:szCs w:val="15"/>
              </w:rPr>
              <w:t>±2.9*</w:t>
            </w:r>
          </w:p>
        </w:tc>
        <w:tc>
          <w:tcPr>
            <w:tcW w:w="619"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32.5</w:t>
            </w:r>
            <w:r w:rsidRPr="00725237">
              <w:rPr>
                <w:rFonts w:ascii="Times New Roman" w:hAnsi="Times New Roman"/>
                <w:kern w:val="0"/>
                <w:sz w:val="15"/>
                <w:szCs w:val="15"/>
              </w:rPr>
              <w:t>±11.6*</w:t>
            </w:r>
          </w:p>
        </w:tc>
        <w:tc>
          <w:tcPr>
            <w:tcW w:w="516"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4.9</w:t>
            </w:r>
            <w:r w:rsidRPr="00725237">
              <w:rPr>
                <w:rFonts w:ascii="Times New Roman" w:hAnsi="Times New Roman"/>
                <w:kern w:val="0"/>
                <w:sz w:val="15"/>
                <w:szCs w:val="15"/>
              </w:rPr>
              <w:t>±1.1*</w:t>
            </w:r>
          </w:p>
        </w:tc>
        <w:tc>
          <w:tcPr>
            <w:tcW w:w="518"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468</w:t>
            </w:r>
            <w:r w:rsidRPr="00725237">
              <w:rPr>
                <w:rFonts w:ascii="Times New Roman" w:hAnsi="Times New Roman"/>
                <w:kern w:val="0"/>
                <w:sz w:val="15"/>
                <w:szCs w:val="15"/>
              </w:rPr>
              <w:t>±58</w:t>
            </w:r>
            <w:r w:rsidRPr="00725237">
              <w:rPr>
                <w:rFonts w:ascii="Times New Roman" w:hAnsi="Times New Roman"/>
                <w:kern w:val="0"/>
                <w:sz w:val="15"/>
                <w:szCs w:val="15"/>
                <w:vertAlign w:val="superscript"/>
              </w:rPr>
              <w:t>&amp;</w:t>
            </w:r>
          </w:p>
        </w:tc>
        <w:tc>
          <w:tcPr>
            <w:tcW w:w="670"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168.5</w:t>
            </w:r>
            <w:r w:rsidRPr="00725237">
              <w:rPr>
                <w:rFonts w:ascii="Times New Roman" w:hAnsi="Times New Roman"/>
                <w:kern w:val="0"/>
                <w:sz w:val="15"/>
                <w:szCs w:val="15"/>
              </w:rPr>
              <w:t>±56.4*</w:t>
            </w:r>
          </w:p>
        </w:tc>
        <w:tc>
          <w:tcPr>
            <w:tcW w:w="518"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197</w:t>
            </w:r>
            <w:r w:rsidRPr="00725237">
              <w:rPr>
                <w:rFonts w:ascii="Times New Roman" w:hAnsi="Times New Roman"/>
                <w:kern w:val="0"/>
                <w:sz w:val="15"/>
                <w:szCs w:val="15"/>
              </w:rPr>
              <w:t>±38</w:t>
            </w:r>
            <w:r w:rsidRPr="00725237">
              <w:rPr>
                <w:rFonts w:ascii="Times New Roman" w:hAnsi="Times New Roman"/>
                <w:kern w:val="0"/>
                <w:sz w:val="15"/>
                <w:szCs w:val="15"/>
                <w:vertAlign w:val="superscript"/>
              </w:rPr>
              <w:t>&amp;</w:t>
            </w:r>
          </w:p>
        </w:tc>
        <w:tc>
          <w:tcPr>
            <w:tcW w:w="621" w:type="pct"/>
            <w:tcBorders>
              <w:top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1.21</w:t>
            </w:r>
            <w:r w:rsidRPr="00725237">
              <w:rPr>
                <w:rFonts w:ascii="Times New Roman" w:hAnsi="Times New Roman"/>
                <w:kern w:val="0"/>
                <w:sz w:val="15"/>
                <w:szCs w:val="15"/>
              </w:rPr>
              <w:t>±0.23</w:t>
            </w:r>
            <w:r w:rsidRPr="00725237">
              <w:rPr>
                <w:rFonts w:ascii="Times New Roman" w:hAnsi="Times New Roman"/>
                <w:kern w:val="0"/>
                <w:sz w:val="15"/>
                <w:szCs w:val="15"/>
                <w:vertAlign w:val="superscript"/>
              </w:rPr>
              <w:t>&amp;</w:t>
            </w:r>
          </w:p>
        </w:tc>
      </w:tr>
      <w:tr w:rsidR="0044479B" w:rsidRPr="00725237" w:rsidTr="00725237">
        <w:tc>
          <w:tcPr>
            <w:tcW w:w="617"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hint="eastAsia"/>
                <w:sz w:val="15"/>
                <w:szCs w:val="15"/>
              </w:rPr>
              <w:t>对照组</w:t>
            </w:r>
          </w:p>
        </w:tc>
        <w:tc>
          <w:tcPr>
            <w:tcW w:w="355"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28</w:t>
            </w:r>
          </w:p>
        </w:tc>
        <w:tc>
          <w:tcPr>
            <w:tcW w:w="567"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12.5</w:t>
            </w:r>
            <w:r w:rsidRPr="00725237">
              <w:rPr>
                <w:rFonts w:ascii="Times New Roman" w:hAnsi="Times New Roman"/>
                <w:kern w:val="0"/>
                <w:sz w:val="15"/>
                <w:szCs w:val="15"/>
              </w:rPr>
              <w:t>±3.8</w:t>
            </w:r>
          </w:p>
        </w:tc>
        <w:tc>
          <w:tcPr>
            <w:tcW w:w="619"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24.7</w:t>
            </w:r>
            <w:r w:rsidRPr="00725237">
              <w:rPr>
                <w:rFonts w:ascii="Times New Roman" w:hAnsi="Times New Roman"/>
                <w:kern w:val="0"/>
                <w:sz w:val="15"/>
                <w:szCs w:val="15"/>
              </w:rPr>
              <w:t>±9.86</w:t>
            </w:r>
          </w:p>
        </w:tc>
        <w:tc>
          <w:tcPr>
            <w:tcW w:w="516"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3.8</w:t>
            </w:r>
            <w:r w:rsidRPr="00725237">
              <w:rPr>
                <w:rFonts w:ascii="Times New Roman" w:hAnsi="Times New Roman"/>
                <w:kern w:val="0"/>
                <w:sz w:val="15"/>
                <w:szCs w:val="15"/>
              </w:rPr>
              <w:t>±0.8</w:t>
            </w:r>
          </w:p>
        </w:tc>
        <w:tc>
          <w:tcPr>
            <w:tcW w:w="518"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359</w:t>
            </w:r>
            <w:r w:rsidRPr="00725237">
              <w:rPr>
                <w:rFonts w:ascii="Times New Roman" w:hAnsi="Times New Roman"/>
                <w:kern w:val="0"/>
                <w:sz w:val="15"/>
                <w:szCs w:val="15"/>
              </w:rPr>
              <w:t>±80</w:t>
            </w:r>
          </w:p>
        </w:tc>
        <w:tc>
          <w:tcPr>
            <w:tcW w:w="670"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258</w:t>
            </w:r>
            <w:r w:rsidRPr="00725237">
              <w:rPr>
                <w:rFonts w:ascii="Times New Roman" w:hAnsi="Times New Roman"/>
                <w:kern w:val="0"/>
                <w:sz w:val="15"/>
                <w:szCs w:val="15"/>
              </w:rPr>
              <w:t>±66.2</w:t>
            </w:r>
          </w:p>
        </w:tc>
        <w:tc>
          <w:tcPr>
            <w:tcW w:w="518"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317</w:t>
            </w:r>
            <w:r w:rsidRPr="00725237">
              <w:rPr>
                <w:rFonts w:ascii="Times New Roman" w:hAnsi="Times New Roman"/>
                <w:kern w:val="0"/>
                <w:sz w:val="15"/>
                <w:szCs w:val="15"/>
              </w:rPr>
              <w:t>±87</w:t>
            </w:r>
          </w:p>
        </w:tc>
        <w:tc>
          <w:tcPr>
            <w:tcW w:w="621" w:type="pct"/>
            <w:tcBorders>
              <w:bottom w:val="single" w:sz="4" w:space="0" w:color="000000"/>
            </w:tcBorders>
            <w:vAlign w:val="center"/>
          </w:tcPr>
          <w:p w:rsidR="0044479B" w:rsidRPr="00725237" w:rsidRDefault="0044479B" w:rsidP="00725237">
            <w:pPr>
              <w:jc w:val="center"/>
              <w:rPr>
                <w:rFonts w:ascii="Times New Roman"/>
                <w:sz w:val="15"/>
                <w:szCs w:val="15"/>
              </w:rPr>
            </w:pPr>
            <w:r w:rsidRPr="00725237">
              <w:rPr>
                <w:rFonts w:ascii="Times New Roman"/>
                <w:sz w:val="15"/>
                <w:szCs w:val="15"/>
              </w:rPr>
              <w:t>0.71</w:t>
            </w:r>
            <w:r w:rsidRPr="00725237">
              <w:rPr>
                <w:rFonts w:ascii="Times New Roman" w:hAnsi="Times New Roman"/>
                <w:kern w:val="0"/>
                <w:sz w:val="15"/>
                <w:szCs w:val="15"/>
              </w:rPr>
              <w:t>±0.11</w:t>
            </w:r>
          </w:p>
        </w:tc>
      </w:tr>
    </w:tbl>
    <w:p w:rsidR="0044479B" w:rsidRPr="001E0234" w:rsidRDefault="0044479B">
      <w:pPr>
        <w:rPr>
          <w:rFonts w:ascii="Times New Roman"/>
          <w:sz w:val="15"/>
          <w:szCs w:val="15"/>
        </w:rPr>
      </w:pPr>
      <w:r w:rsidRPr="001E0234">
        <w:rPr>
          <w:rFonts w:ascii="Times New Roman" w:hint="eastAsia"/>
          <w:sz w:val="15"/>
          <w:szCs w:val="15"/>
        </w:rPr>
        <w:t>注：</w:t>
      </w:r>
      <w:r w:rsidRPr="001E0234">
        <w:rPr>
          <w:rFonts w:ascii="Times New Roman"/>
          <w:sz w:val="15"/>
          <w:szCs w:val="15"/>
        </w:rPr>
        <w:t>GMP-140</w:t>
      </w:r>
      <w:r w:rsidRPr="001E0234">
        <w:rPr>
          <w:rFonts w:ascii="Times New Roman" w:hint="eastAsia"/>
          <w:sz w:val="15"/>
          <w:szCs w:val="15"/>
        </w:rPr>
        <w:t>：</w:t>
      </w:r>
      <w:r w:rsidRPr="001E0234">
        <w:rPr>
          <w:rFonts w:hint="eastAsia"/>
          <w:sz w:val="15"/>
          <w:szCs w:val="15"/>
        </w:rPr>
        <w:t>血小板颗粒膜蛋白</w:t>
      </w:r>
      <w:r w:rsidRPr="001E0234">
        <w:rPr>
          <w:sz w:val="15"/>
          <w:szCs w:val="15"/>
        </w:rPr>
        <w:t>-140</w:t>
      </w:r>
      <w:r w:rsidRPr="001E0234">
        <w:rPr>
          <w:rFonts w:ascii="Times New Roman" w:hint="eastAsia"/>
          <w:sz w:val="15"/>
          <w:szCs w:val="15"/>
        </w:rPr>
        <w:t>，</w:t>
      </w:r>
      <w:r w:rsidRPr="001E0234">
        <w:rPr>
          <w:rFonts w:ascii="Times New Roman"/>
          <w:sz w:val="15"/>
          <w:szCs w:val="15"/>
        </w:rPr>
        <w:t>vWF</w:t>
      </w:r>
      <w:r w:rsidRPr="001E0234">
        <w:rPr>
          <w:rFonts w:ascii="Times New Roman" w:hint="eastAsia"/>
          <w:sz w:val="15"/>
          <w:szCs w:val="15"/>
        </w:rPr>
        <w:t>：</w:t>
      </w:r>
      <w:r w:rsidRPr="001E0234">
        <w:rPr>
          <w:rFonts w:hint="eastAsia"/>
          <w:sz w:val="15"/>
          <w:szCs w:val="15"/>
        </w:rPr>
        <w:t>血管性血友病因子</w:t>
      </w:r>
      <w:r w:rsidRPr="001E0234">
        <w:rPr>
          <w:rFonts w:ascii="Times New Roman" w:hint="eastAsia"/>
          <w:sz w:val="15"/>
          <w:szCs w:val="15"/>
        </w:rPr>
        <w:t>，</w:t>
      </w:r>
      <w:r w:rsidRPr="001E0234">
        <w:rPr>
          <w:rFonts w:ascii="Times New Roman"/>
          <w:sz w:val="15"/>
          <w:szCs w:val="15"/>
        </w:rPr>
        <w:t>Fbg</w:t>
      </w:r>
      <w:r w:rsidRPr="001E0234">
        <w:rPr>
          <w:rFonts w:ascii="Times New Roman" w:hint="eastAsia"/>
          <w:sz w:val="15"/>
          <w:szCs w:val="15"/>
        </w:rPr>
        <w:t>：</w:t>
      </w:r>
      <w:r w:rsidRPr="001E0234">
        <w:rPr>
          <w:rFonts w:hint="eastAsia"/>
          <w:sz w:val="15"/>
          <w:szCs w:val="15"/>
        </w:rPr>
        <w:t>纤维蛋白原</w:t>
      </w:r>
      <w:r w:rsidRPr="001E0234">
        <w:rPr>
          <w:rFonts w:ascii="Times New Roman" w:hint="eastAsia"/>
          <w:sz w:val="15"/>
          <w:szCs w:val="15"/>
        </w:rPr>
        <w:t>，</w:t>
      </w:r>
      <w:r w:rsidRPr="001E0234">
        <w:rPr>
          <w:rFonts w:ascii="Times New Roman"/>
          <w:sz w:val="15"/>
          <w:szCs w:val="15"/>
        </w:rPr>
        <w:t>PAI-1</w:t>
      </w:r>
      <w:r w:rsidRPr="001E0234">
        <w:rPr>
          <w:rFonts w:ascii="Times New Roman" w:hint="eastAsia"/>
          <w:sz w:val="15"/>
          <w:szCs w:val="15"/>
        </w:rPr>
        <w:t>：</w:t>
      </w:r>
      <w:r w:rsidRPr="001E0234">
        <w:rPr>
          <w:rFonts w:hint="eastAsia"/>
          <w:sz w:val="15"/>
          <w:szCs w:val="15"/>
        </w:rPr>
        <w:t>纤溶酶原激活物抑制剂</w:t>
      </w:r>
      <w:r w:rsidRPr="001E0234">
        <w:rPr>
          <w:sz w:val="15"/>
          <w:szCs w:val="15"/>
        </w:rPr>
        <w:t>1</w:t>
      </w:r>
      <w:r w:rsidRPr="001E0234">
        <w:rPr>
          <w:rFonts w:hint="eastAsia"/>
          <w:sz w:val="15"/>
          <w:szCs w:val="15"/>
        </w:rPr>
        <w:t>，</w:t>
      </w:r>
      <w:r w:rsidRPr="001E0234">
        <w:rPr>
          <w:rFonts w:ascii="Times New Roman"/>
          <w:sz w:val="15"/>
          <w:szCs w:val="15"/>
        </w:rPr>
        <w:t>AT</w:t>
      </w:r>
      <w:r w:rsidRPr="001E0234">
        <w:rPr>
          <w:rFonts w:hint="eastAsia"/>
          <w:sz w:val="15"/>
          <w:szCs w:val="15"/>
        </w:rPr>
        <w:t>Ⅲ：抗凝血酶Ⅲ，</w:t>
      </w:r>
      <w:r w:rsidRPr="001E0234">
        <w:rPr>
          <w:sz w:val="15"/>
          <w:szCs w:val="15"/>
        </w:rPr>
        <w:t>t-PA</w:t>
      </w:r>
      <w:r w:rsidRPr="001E0234">
        <w:rPr>
          <w:rFonts w:hint="eastAsia"/>
          <w:sz w:val="15"/>
          <w:szCs w:val="15"/>
        </w:rPr>
        <w:t>：组织型纤溶酶原激活剂；</w:t>
      </w:r>
      <w:r w:rsidRPr="001E0234">
        <w:rPr>
          <w:sz w:val="15"/>
          <w:szCs w:val="15"/>
        </w:rPr>
        <w:t>IMT</w:t>
      </w:r>
      <w:r w:rsidRPr="001E0234">
        <w:rPr>
          <w:rFonts w:hint="eastAsia"/>
          <w:sz w:val="15"/>
          <w:szCs w:val="15"/>
        </w:rPr>
        <w:t>：</w:t>
      </w:r>
      <w:r w:rsidRPr="001E0234">
        <w:rPr>
          <w:rFonts w:ascii="Times New Roman" w:hint="eastAsia"/>
          <w:sz w:val="15"/>
          <w:szCs w:val="15"/>
        </w:rPr>
        <w:t>颈动脉内膜中层厚度。与对照组比较：</w:t>
      </w:r>
      <w:r w:rsidRPr="001E0234">
        <w:rPr>
          <w:rFonts w:ascii="Times New Roman"/>
          <w:sz w:val="15"/>
          <w:szCs w:val="15"/>
        </w:rPr>
        <w:t>*P</w:t>
      </w:r>
      <w:r w:rsidRPr="001E0234">
        <w:rPr>
          <w:rFonts w:ascii="Times New Roman" w:hint="eastAsia"/>
          <w:sz w:val="15"/>
          <w:szCs w:val="15"/>
        </w:rPr>
        <w:t>＜</w:t>
      </w:r>
      <w:r w:rsidRPr="001E0234">
        <w:rPr>
          <w:rFonts w:ascii="Times New Roman"/>
          <w:sz w:val="15"/>
          <w:szCs w:val="15"/>
        </w:rPr>
        <w:t>0.05</w:t>
      </w:r>
      <w:r w:rsidRPr="001E0234">
        <w:rPr>
          <w:rFonts w:ascii="Times New Roman" w:hint="eastAsia"/>
          <w:sz w:val="15"/>
          <w:szCs w:val="15"/>
        </w:rPr>
        <w:t>，</w:t>
      </w:r>
      <w:r w:rsidRPr="001E0234">
        <w:rPr>
          <w:rFonts w:ascii="Times New Roman"/>
          <w:sz w:val="15"/>
          <w:szCs w:val="15"/>
          <w:vertAlign w:val="superscript"/>
        </w:rPr>
        <w:t>&amp;</w:t>
      </w:r>
      <w:r w:rsidRPr="001E0234">
        <w:rPr>
          <w:rFonts w:ascii="Times New Roman"/>
          <w:sz w:val="15"/>
          <w:szCs w:val="15"/>
        </w:rPr>
        <w:t>P</w:t>
      </w:r>
      <w:r w:rsidRPr="001E0234">
        <w:rPr>
          <w:rFonts w:ascii="Times New Roman" w:hint="eastAsia"/>
          <w:sz w:val="15"/>
          <w:szCs w:val="15"/>
        </w:rPr>
        <w:t>＜</w:t>
      </w:r>
      <w:r w:rsidRPr="001E0234">
        <w:rPr>
          <w:rFonts w:ascii="Times New Roman"/>
          <w:sz w:val="15"/>
          <w:szCs w:val="15"/>
        </w:rPr>
        <w:t>0.01</w:t>
      </w:r>
      <w:r w:rsidRPr="001E0234">
        <w:rPr>
          <w:rFonts w:ascii="Times New Roman" w:hint="eastAsia"/>
          <w:sz w:val="15"/>
          <w:szCs w:val="15"/>
        </w:rPr>
        <w:t>。</w:t>
      </w:r>
    </w:p>
    <w:p w:rsidR="0044479B" w:rsidRDefault="0044479B" w:rsidP="00DF51DB">
      <w:pPr>
        <w:ind w:firstLineChars="150" w:firstLine="31680"/>
        <w:rPr>
          <w:rFonts w:ascii="Times New Roman"/>
          <w:szCs w:val="21"/>
        </w:rPr>
      </w:pPr>
      <w:r>
        <w:rPr>
          <w:rFonts w:ascii="Times New Roman" w:hint="eastAsia"/>
          <w:szCs w:val="21"/>
        </w:rPr>
        <w:t>相关性分析</w:t>
      </w:r>
      <w:r>
        <w:rPr>
          <w:rFonts w:ascii="Times New Roman"/>
          <w:szCs w:val="21"/>
        </w:rPr>
        <w:t xml:space="preserve">  OSAHS</w:t>
      </w:r>
      <w:r>
        <w:rPr>
          <w:rFonts w:ascii="Times New Roman" w:hint="eastAsia"/>
          <w:szCs w:val="21"/>
        </w:rPr>
        <w:t>组血清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rPr>
          <w:rFonts w:ascii="Times New Roman"/>
          <w:szCs w:val="21"/>
        </w:rPr>
        <w:t>Fbg</w:t>
      </w:r>
      <w:r>
        <w:rPr>
          <w:rFonts w:ascii="Times New Roman" w:hint="eastAsia"/>
          <w:szCs w:val="21"/>
        </w:rPr>
        <w:t>、</w:t>
      </w:r>
      <w:r>
        <w:rPr>
          <w:rFonts w:ascii="Times New Roman"/>
          <w:szCs w:val="21"/>
        </w:rPr>
        <w:t>PAI-1</w:t>
      </w:r>
      <w:r>
        <w:rPr>
          <w:rFonts w:ascii="Times New Roman" w:hint="eastAsia"/>
          <w:szCs w:val="21"/>
        </w:rPr>
        <w:t>水平与</w:t>
      </w:r>
      <w:r>
        <w:rPr>
          <w:rFonts w:ascii="Times New Roman"/>
          <w:szCs w:val="21"/>
        </w:rPr>
        <w:t>AHI</w:t>
      </w:r>
      <w:r>
        <w:rPr>
          <w:rFonts w:ascii="Times New Roman" w:hint="eastAsia"/>
          <w:szCs w:val="21"/>
        </w:rPr>
        <w:t>呈正相关（</w:t>
      </w:r>
      <w:r>
        <w:rPr>
          <w:rFonts w:ascii="Times New Roman"/>
          <w:szCs w:val="21"/>
        </w:rPr>
        <w:t>r=0.514</w:t>
      </w:r>
      <w:r>
        <w:rPr>
          <w:rFonts w:ascii="Times New Roman" w:hint="eastAsia"/>
          <w:szCs w:val="21"/>
        </w:rPr>
        <w:t>，</w:t>
      </w:r>
      <w:r>
        <w:rPr>
          <w:rFonts w:ascii="Times New Roman"/>
          <w:szCs w:val="21"/>
        </w:rPr>
        <w:t>0.557</w:t>
      </w:r>
      <w:r>
        <w:rPr>
          <w:rFonts w:ascii="Times New Roman" w:hint="eastAsia"/>
          <w:szCs w:val="21"/>
        </w:rPr>
        <w:t>，</w:t>
      </w:r>
      <w:r>
        <w:rPr>
          <w:rFonts w:ascii="Times New Roman"/>
          <w:szCs w:val="21"/>
        </w:rPr>
        <w:t>0.426</w:t>
      </w:r>
      <w:r>
        <w:rPr>
          <w:rFonts w:ascii="Times New Roman" w:hint="eastAsia"/>
          <w:szCs w:val="21"/>
        </w:rPr>
        <w:t>和</w:t>
      </w:r>
      <w:r>
        <w:rPr>
          <w:rFonts w:ascii="Times New Roman"/>
          <w:szCs w:val="21"/>
        </w:rPr>
        <w:t>0.548</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0.01</w:t>
      </w:r>
      <w:r>
        <w:rPr>
          <w:rFonts w:ascii="Times New Roman" w:hint="eastAsia"/>
          <w:szCs w:val="21"/>
        </w:rPr>
        <w:t>）；与</w:t>
      </w:r>
      <w:r>
        <w:rPr>
          <w:rFonts w:ascii="Times New Roman"/>
          <w:szCs w:val="21"/>
        </w:rPr>
        <w:t>IMT</w:t>
      </w:r>
      <w:r>
        <w:rPr>
          <w:rFonts w:ascii="Times New Roman" w:hint="eastAsia"/>
          <w:szCs w:val="21"/>
        </w:rPr>
        <w:t>呈正相关（</w:t>
      </w:r>
      <w:r>
        <w:rPr>
          <w:rFonts w:ascii="Times New Roman"/>
          <w:szCs w:val="21"/>
        </w:rPr>
        <w:t>r=0.507</w:t>
      </w:r>
      <w:r>
        <w:rPr>
          <w:rFonts w:ascii="Times New Roman" w:hint="eastAsia"/>
          <w:szCs w:val="21"/>
        </w:rPr>
        <w:t>，</w:t>
      </w:r>
      <w:r>
        <w:rPr>
          <w:rFonts w:ascii="Times New Roman"/>
          <w:szCs w:val="21"/>
        </w:rPr>
        <w:t>0.411</w:t>
      </w:r>
      <w:r>
        <w:rPr>
          <w:rFonts w:ascii="Times New Roman" w:hint="eastAsia"/>
          <w:szCs w:val="21"/>
        </w:rPr>
        <w:t>，</w:t>
      </w:r>
      <w:r>
        <w:rPr>
          <w:rFonts w:ascii="Times New Roman"/>
          <w:szCs w:val="21"/>
        </w:rPr>
        <w:t>0.392</w:t>
      </w:r>
      <w:r>
        <w:rPr>
          <w:rFonts w:ascii="Times New Roman" w:hint="eastAsia"/>
          <w:szCs w:val="21"/>
        </w:rPr>
        <w:t>和</w:t>
      </w:r>
      <w:r>
        <w:rPr>
          <w:rFonts w:ascii="Times New Roman"/>
          <w:szCs w:val="21"/>
        </w:rPr>
        <w:t>0.458</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）。血清</w:t>
      </w:r>
      <w:r>
        <w:rPr>
          <w:rFonts w:ascii="Times New Roman"/>
          <w:szCs w:val="21"/>
        </w:rPr>
        <w:t>AT</w:t>
      </w:r>
      <w:r w:rsidRPr="00A31A63">
        <w:rPr>
          <w:rFonts w:hint="eastAsia"/>
        </w:rPr>
        <w:t>Ⅲ</w:t>
      </w:r>
      <w:r>
        <w:rPr>
          <w:rFonts w:hint="eastAsia"/>
        </w:rPr>
        <w:t>、</w:t>
      </w:r>
      <w:r>
        <w:t>t-PA</w:t>
      </w:r>
      <w:r>
        <w:rPr>
          <w:rFonts w:hint="eastAsia"/>
        </w:rPr>
        <w:t>水平与</w:t>
      </w:r>
      <w:r>
        <w:rPr>
          <w:rFonts w:ascii="Times New Roman"/>
          <w:szCs w:val="21"/>
        </w:rPr>
        <w:t>AHI</w:t>
      </w:r>
      <w:r>
        <w:rPr>
          <w:rFonts w:ascii="Times New Roman" w:hint="eastAsia"/>
          <w:szCs w:val="21"/>
        </w:rPr>
        <w:t>呈负相关（</w:t>
      </w:r>
      <w:r>
        <w:rPr>
          <w:rFonts w:ascii="Times New Roman"/>
          <w:szCs w:val="21"/>
        </w:rPr>
        <w:t>r=-0.482</w:t>
      </w:r>
      <w:r>
        <w:rPr>
          <w:rFonts w:ascii="Times New Roman" w:hint="eastAsia"/>
          <w:szCs w:val="21"/>
        </w:rPr>
        <w:t>，</w:t>
      </w:r>
      <w:r>
        <w:rPr>
          <w:rFonts w:ascii="Times New Roman"/>
          <w:szCs w:val="21"/>
        </w:rPr>
        <w:t>-0.513</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0.01</w:t>
      </w:r>
      <w:r>
        <w:rPr>
          <w:rFonts w:ascii="Times New Roman" w:hint="eastAsia"/>
          <w:szCs w:val="21"/>
        </w:rPr>
        <w:t>）；与</w:t>
      </w:r>
      <w:r>
        <w:rPr>
          <w:rFonts w:ascii="Times New Roman"/>
          <w:szCs w:val="21"/>
        </w:rPr>
        <w:t>IMT</w:t>
      </w:r>
      <w:r>
        <w:rPr>
          <w:rFonts w:ascii="Times New Roman" w:hint="eastAsia"/>
          <w:szCs w:val="21"/>
        </w:rPr>
        <w:t>呈负相关（</w:t>
      </w:r>
      <w:r>
        <w:rPr>
          <w:rFonts w:ascii="Times New Roman"/>
          <w:szCs w:val="21"/>
        </w:rPr>
        <w:t>r=-0.401</w:t>
      </w:r>
      <w:r>
        <w:rPr>
          <w:rFonts w:ascii="Times New Roman" w:hint="eastAsia"/>
          <w:szCs w:val="21"/>
        </w:rPr>
        <w:t>，</w:t>
      </w:r>
      <w:r>
        <w:rPr>
          <w:rFonts w:ascii="Times New Roman"/>
          <w:szCs w:val="21"/>
        </w:rPr>
        <w:t>-0.367</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w:t>
      </w:r>
      <w:r>
        <w:rPr>
          <w:rFonts w:ascii="Times New Roman"/>
          <w:szCs w:val="21"/>
        </w:rPr>
        <w:t>OSAHS</w:t>
      </w:r>
      <w:r>
        <w:rPr>
          <w:rFonts w:ascii="Times New Roman" w:hint="eastAsia"/>
          <w:szCs w:val="21"/>
        </w:rPr>
        <w:t>组</w:t>
      </w:r>
      <w:r>
        <w:rPr>
          <w:rFonts w:ascii="Times New Roman"/>
          <w:szCs w:val="21"/>
        </w:rPr>
        <w:t>IMT</w:t>
      </w:r>
      <w:r>
        <w:rPr>
          <w:rFonts w:ascii="Times New Roman" w:hint="eastAsia"/>
          <w:szCs w:val="21"/>
        </w:rPr>
        <w:t>与</w:t>
      </w:r>
      <w:r>
        <w:rPr>
          <w:rFonts w:ascii="Times New Roman"/>
          <w:szCs w:val="21"/>
        </w:rPr>
        <w:t>AHI</w:t>
      </w:r>
      <w:r>
        <w:rPr>
          <w:rFonts w:ascii="Times New Roman" w:hint="eastAsia"/>
          <w:szCs w:val="21"/>
        </w:rPr>
        <w:t>成正相关（</w:t>
      </w:r>
      <w:r>
        <w:rPr>
          <w:rFonts w:ascii="Times New Roman"/>
          <w:szCs w:val="21"/>
        </w:rPr>
        <w:t>r=0.501</w:t>
      </w:r>
      <w:r>
        <w:rPr>
          <w:rFonts w:ascii="Times New Roman" w:hint="eastAsia"/>
          <w:szCs w:val="21"/>
        </w:rPr>
        <w:t>，</w:t>
      </w:r>
      <w:r>
        <w:rPr>
          <w:rFonts w:ascii="Times New Roman"/>
          <w:szCs w:val="21"/>
        </w:rPr>
        <w:t>P</w:t>
      </w:r>
      <w:r>
        <w:rPr>
          <w:rFonts w:ascii="Times New Roman" w:hint="eastAsia"/>
          <w:szCs w:val="21"/>
        </w:rPr>
        <w:t>＜</w:t>
      </w:r>
      <w:r>
        <w:rPr>
          <w:rFonts w:ascii="Times New Roman"/>
          <w:szCs w:val="21"/>
        </w:rPr>
        <w:t>0.01</w:t>
      </w:r>
      <w:r>
        <w:rPr>
          <w:rFonts w:ascii="Times New Roman" w:hint="eastAsia"/>
          <w:szCs w:val="21"/>
        </w:rPr>
        <w:t>），与</w:t>
      </w:r>
      <w:r>
        <w:rPr>
          <w:rFonts w:ascii="Times New Roman"/>
          <w:szCs w:val="21"/>
        </w:rPr>
        <w:t>MSaO</w:t>
      </w:r>
      <w:r w:rsidRPr="006217BC">
        <w:rPr>
          <w:rFonts w:ascii="Times New Roman"/>
          <w:szCs w:val="21"/>
          <w:vertAlign w:val="subscript"/>
        </w:rPr>
        <w:t>2</w:t>
      </w:r>
      <w:r>
        <w:rPr>
          <w:rFonts w:ascii="Times New Roman" w:hint="eastAsia"/>
          <w:szCs w:val="21"/>
        </w:rPr>
        <w:t>和</w:t>
      </w:r>
      <w:r>
        <w:rPr>
          <w:rFonts w:ascii="Times New Roman"/>
          <w:szCs w:val="21"/>
        </w:rPr>
        <w:t>LSaO</w:t>
      </w:r>
      <w:r w:rsidRPr="006217BC">
        <w:rPr>
          <w:rFonts w:ascii="Times New Roman"/>
          <w:szCs w:val="21"/>
          <w:vertAlign w:val="subscript"/>
        </w:rPr>
        <w:t>2</w:t>
      </w:r>
      <w:r>
        <w:rPr>
          <w:rFonts w:ascii="Times New Roman" w:hint="eastAsia"/>
          <w:szCs w:val="21"/>
        </w:rPr>
        <w:t>均呈负相关（</w:t>
      </w:r>
      <w:r>
        <w:rPr>
          <w:rFonts w:ascii="Times New Roman"/>
          <w:szCs w:val="21"/>
        </w:rPr>
        <w:t>r=-0.438</w:t>
      </w:r>
      <w:r>
        <w:rPr>
          <w:rFonts w:ascii="Times New Roman" w:hint="eastAsia"/>
          <w:szCs w:val="21"/>
        </w:rPr>
        <w:t>和</w:t>
      </w:r>
      <w:r>
        <w:rPr>
          <w:rFonts w:ascii="Times New Roman"/>
          <w:szCs w:val="21"/>
        </w:rPr>
        <w:t>-0.397</w:t>
      </w:r>
      <w:r>
        <w:rPr>
          <w:rFonts w:ascii="Times New Roman" w:hint="eastAsia"/>
          <w:szCs w:val="21"/>
        </w:rPr>
        <w:t>，均</w:t>
      </w:r>
      <w:r>
        <w:rPr>
          <w:rFonts w:ascii="Times New Roman"/>
          <w:szCs w:val="21"/>
        </w:rPr>
        <w:t>P</w:t>
      </w:r>
      <w:r>
        <w:rPr>
          <w:rFonts w:ascii="Times New Roman" w:hint="eastAsia"/>
          <w:szCs w:val="21"/>
        </w:rPr>
        <w:t>＜</w:t>
      </w:r>
      <w:r>
        <w:rPr>
          <w:rFonts w:ascii="Times New Roman"/>
          <w:szCs w:val="21"/>
        </w:rPr>
        <w:t>0.05</w:t>
      </w:r>
      <w:r>
        <w:rPr>
          <w:rFonts w:ascii="Times New Roman" w:hint="eastAsia"/>
          <w:szCs w:val="21"/>
        </w:rPr>
        <w:t>）。</w:t>
      </w:r>
    </w:p>
    <w:p w:rsidR="0044479B" w:rsidRDefault="0044479B" w:rsidP="00DF51DB">
      <w:pPr>
        <w:ind w:firstLineChars="150" w:firstLine="31680"/>
      </w:pPr>
      <w:r>
        <w:rPr>
          <w:rFonts w:ascii="Times New Roman"/>
          <w:szCs w:val="21"/>
        </w:rPr>
        <w:t>OSAHS</w:t>
      </w:r>
      <w:r>
        <w:rPr>
          <w:rFonts w:ascii="Times New Roman" w:hint="eastAsia"/>
          <w:szCs w:val="21"/>
        </w:rPr>
        <w:t>组颈动脉内膜中层厚度影响因素多元逐步回归分析</w:t>
      </w:r>
      <w:r>
        <w:rPr>
          <w:rFonts w:ascii="Times New Roman"/>
          <w:szCs w:val="21"/>
        </w:rPr>
        <w:t xml:space="preserve">  </w:t>
      </w:r>
      <w:r>
        <w:rPr>
          <w:rFonts w:ascii="Times New Roman" w:hint="eastAsia"/>
          <w:szCs w:val="21"/>
        </w:rPr>
        <w:t>以</w:t>
      </w:r>
      <w:r>
        <w:rPr>
          <w:rFonts w:ascii="Times New Roman"/>
          <w:szCs w:val="21"/>
        </w:rPr>
        <w:t>OSAHS</w:t>
      </w:r>
      <w:r>
        <w:rPr>
          <w:rFonts w:ascii="Times New Roman" w:hint="eastAsia"/>
          <w:szCs w:val="21"/>
        </w:rPr>
        <w:t>组</w:t>
      </w:r>
      <w:r>
        <w:rPr>
          <w:rFonts w:ascii="Times New Roman"/>
          <w:szCs w:val="21"/>
        </w:rPr>
        <w:t>IMT</w:t>
      </w:r>
      <w:r>
        <w:rPr>
          <w:rFonts w:ascii="Times New Roman" w:hint="eastAsia"/>
          <w:szCs w:val="21"/>
        </w:rPr>
        <w:t>为因变量，以患者年龄、体质指数、血清胆固醇、甘油三酯、血糖、</w:t>
      </w:r>
      <w:r>
        <w:rPr>
          <w:rFonts w:ascii="Times New Roman"/>
          <w:szCs w:val="21"/>
        </w:rPr>
        <w:t>AHI</w:t>
      </w:r>
      <w:r>
        <w:rPr>
          <w:rFonts w:ascii="Times New Roman" w:hint="eastAsia"/>
          <w:szCs w:val="21"/>
        </w:rPr>
        <w:t>、</w:t>
      </w:r>
      <w:r>
        <w:rPr>
          <w:rFonts w:ascii="Times New Roman"/>
          <w:szCs w:val="21"/>
        </w:rPr>
        <w:t>MSaO</w:t>
      </w:r>
      <w:r w:rsidRPr="006217BC">
        <w:rPr>
          <w:rFonts w:ascii="Times New Roman"/>
          <w:szCs w:val="21"/>
          <w:vertAlign w:val="subscript"/>
        </w:rPr>
        <w:t>2</w:t>
      </w:r>
      <w:r>
        <w:rPr>
          <w:rFonts w:ascii="Times New Roman" w:hint="eastAsia"/>
          <w:szCs w:val="21"/>
        </w:rPr>
        <w:t>、</w:t>
      </w:r>
      <w:r>
        <w:rPr>
          <w:rFonts w:ascii="Times New Roman"/>
          <w:szCs w:val="21"/>
        </w:rPr>
        <w:t>LSaO</w:t>
      </w:r>
      <w:r w:rsidRPr="006217BC">
        <w:rPr>
          <w:rFonts w:ascii="Times New Roman"/>
          <w:szCs w:val="21"/>
          <w:vertAlign w:val="subscript"/>
        </w:rPr>
        <w:t>2</w:t>
      </w:r>
      <w:r>
        <w:rPr>
          <w:rFonts w:ascii="Times New Roman" w:hint="eastAsia"/>
          <w:szCs w:val="21"/>
        </w:rPr>
        <w:t>及血清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rPr>
          <w:rFonts w:ascii="Times New Roman"/>
          <w:szCs w:val="21"/>
        </w:rPr>
        <w:t>Fbg</w:t>
      </w:r>
      <w:r>
        <w:rPr>
          <w:rFonts w:ascii="Times New Roman" w:hint="eastAsia"/>
          <w:szCs w:val="21"/>
        </w:rPr>
        <w:t>、</w:t>
      </w:r>
      <w:r>
        <w:rPr>
          <w:rFonts w:ascii="Times New Roman"/>
          <w:szCs w:val="21"/>
        </w:rPr>
        <w:t>PAI-1</w:t>
      </w:r>
      <w:r>
        <w:rPr>
          <w:rFonts w:ascii="Times New Roman" w:hint="eastAsia"/>
          <w:szCs w:val="21"/>
        </w:rPr>
        <w:t>、</w:t>
      </w:r>
      <w:r>
        <w:rPr>
          <w:rFonts w:ascii="Times New Roman"/>
          <w:szCs w:val="21"/>
        </w:rPr>
        <w:t>AT</w:t>
      </w:r>
      <w:r w:rsidRPr="00A31A63">
        <w:rPr>
          <w:rFonts w:hint="eastAsia"/>
        </w:rPr>
        <w:t>Ⅲ</w:t>
      </w:r>
      <w:r>
        <w:rPr>
          <w:rFonts w:hint="eastAsia"/>
        </w:rPr>
        <w:t>、</w:t>
      </w:r>
      <w:r>
        <w:t>t-PA</w:t>
      </w:r>
      <w:r>
        <w:rPr>
          <w:rFonts w:hint="eastAsia"/>
        </w:rPr>
        <w:t>水平为自变量进行多元回归分析。结果显示患者</w:t>
      </w:r>
      <w:r>
        <w:t>AHI</w:t>
      </w:r>
      <w:r>
        <w:rPr>
          <w:rFonts w:hint="eastAsia"/>
        </w:rPr>
        <w:t>、</w:t>
      </w:r>
      <w:r>
        <w:rPr>
          <w:rFonts w:ascii="Times New Roman"/>
          <w:szCs w:val="21"/>
        </w:rPr>
        <w:t>MSaO</w:t>
      </w:r>
      <w:r w:rsidRPr="006217BC">
        <w:rPr>
          <w:rFonts w:ascii="Times New Roman"/>
          <w:szCs w:val="21"/>
          <w:vertAlign w:val="subscript"/>
        </w:rPr>
        <w:t>2</w:t>
      </w:r>
      <w:r>
        <w:rPr>
          <w:rFonts w:ascii="Times New Roman" w:hint="eastAsia"/>
          <w:szCs w:val="21"/>
        </w:rPr>
        <w:t>、</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t>t-PA</w:t>
      </w:r>
      <w:r>
        <w:rPr>
          <w:rFonts w:hint="eastAsia"/>
        </w:rPr>
        <w:t>水平进入回归方程。结果见表</w:t>
      </w:r>
      <w:r>
        <w:t>3</w:t>
      </w:r>
      <w:r>
        <w:rPr>
          <w:rFonts w:hint="eastAsia"/>
        </w:rPr>
        <w:t>。</w:t>
      </w:r>
    </w:p>
    <w:p w:rsidR="0044479B" w:rsidRDefault="0044479B" w:rsidP="008F0E13">
      <w:pPr>
        <w:jc w:val="center"/>
      </w:pPr>
      <w:r>
        <w:rPr>
          <w:rFonts w:hint="eastAsia"/>
        </w:rPr>
        <w:t>表</w:t>
      </w:r>
      <w:r>
        <w:t>3  OSAHS</w:t>
      </w:r>
      <w:r>
        <w:rPr>
          <w:rFonts w:hint="eastAsia"/>
        </w:rPr>
        <w:t>组</w:t>
      </w:r>
      <w:r>
        <w:t>IMT</w:t>
      </w:r>
      <w:r>
        <w:rPr>
          <w:rFonts w:hint="eastAsia"/>
        </w:rPr>
        <w:t>多元逐步回归分析</w:t>
      </w:r>
    </w:p>
    <w:tbl>
      <w:tblPr>
        <w:tblW w:w="0" w:type="auto"/>
        <w:tblLook w:val="00A0"/>
      </w:tblPr>
      <w:tblGrid>
        <w:gridCol w:w="1213"/>
        <w:gridCol w:w="1202"/>
        <w:gridCol w:w="1200"/>
        <w:gridCol w:w="1202"/>
        <w:gridCol w:w="1201"/>
        <w:gridCol w:w="1201"/>
        <w:gridCol w:w="1303"/>
      </w:tblGrid>
      <w:tr w:rsidR="0044479B" w:rsidRPr="00725237" w:rsidTr="00725237">
        <w:tc>
          <w:tcPr>
            <w:tcW w:w="1217" w:type="dxa"/>
            <w:tcBorders>
              <w:top w:val="single" w:sz="4" w:space="0" w:color="000000"/>
              <w:bottom w:val="single" w:sz="4" w:space="0" w:color="000000"/>
            </w:tcBorders>
            <w:vAlign w:val="center"/>
          </w:tcPr>
          <w:p w:rsidR="0044479B" w:rsidRPr="00725237" w:rsidRDefault="0044479B" w:rsidP="00725237">
            <w:pPr>
              <w:jc w:val="center"/>
            </w:pPr>
            <w:r w:rsidRPr="00725237">
              <w:rPr>
                <w:rFonts w:hint="eastAsia"/>
              </w:rPr>
              <w:t>变量</w:t>
            </w:r>
          </w:p>
        </w:tc>
        <w:tc>
          <w:tcPr>
            <w:tcW w:w="1217" w:type="dxa"/>
            <w:tcBorders>
              <w:top w:val="single" w:sz="4" w:space="0" w:color="000000"/>
              <w:bottom w:val="single" w:sz="4" w:space="0" w:color="000000"/>
            </w:tcBorders>
            <w:vAlign w:val="center"/>
          </w:tcPr>
          <w:p w:rsidR="0044479B" w:rsidRPr="00725237" w:rsidRDefault="0044479B" w:rsidP="00725237">
            <w:pPr>
              <w:jc w:val="center"/>
            </w:pPr>
            <w:r w:rsidRPr="00725237">
              <w:t>B</w:t>
            </w:r>
          </w:p>
        </w:tc>
        <w:tc>
          <w:tcPr>
            <w:tcW w:w="1217" w:type="dxa"/>
            <w:tcBorders>
              <w:top w:val="single" w:sz="4" w:space="0" w:color="000000"/>
              <w:bottom w:val="single" w:sz="4" w:space="0" w:color="000000"/>
            </w:tcBorders>
            <w:vAlign w:val="center"/>
          </w:tcPr>
          <w:p w:rsidR="0044479B" w:rsidRPr="00725237" w:rsidRDefault="0044479B" w:rsidP="00725237">
            <w:pPr>
              <w:jc w:val="center"/>
            </w:pPr>
            <w:r w:rsidRPr="00725237">
              <w:t>SE</w:t>
            </w:r>
          </w:p>
        </w:tc>
        <w:tc>
          <w:tcPr>
            <w:tcW w:w="1217" w:type="dxa"/>
            <w:tcBorders>
              <w:top w:val="single" w:sz="4" w:space="0" w:color="000000"/>
              <w:bottom w:val="single" w:sz="4" w:space="0" w:color="000000"/>
            </w:tcBorders>
            <w:vAlign w:val="center"/>
          </w:tcPr>
          <w:p w:rsidR="0044479B" w:rsidRPr="00725237" w:rsidRDefault="0044479B" w:rsidP="00725237">
            <w:pPr>
              <w:jc w:val="center"/>
            </w:pPr>
            <w:r w:rsidRPr="00725237">
              <w:t>Beta</w:t>
            </w:r>
          </w:p>
        </w:tc>
        <w:tc>
          <w:tcPr>
            <w:tcW w:w="1218" w:type="dxa"/>
            <w:tcBorders>
              <w:top w:val="single" w:sz="4" w:space="0" w:color="000000"/>
              <w:bottom w:val="single" w:sz="4" w:space="0" w:color="000000"/>
            </w:tcBorders>
            <w:vAlign w:val="center"/>
          </w:tcPr>
          <w:p w:rsidR="0044479B" w:rsidRPr="00725237" w:rsidRDefault="0044479B" w:rsidP="00725237">
            <w:pPr>
              <w:jc w:val="center"/>
            </w:pPr>
            <w:r w:rsidRPr="00725237">
              <w:t>t</w:t>
            </w:r>
            <w:r w:rsidRPr="00725237">
              <w:rPr>
                <w:rFonts w:hint="eastAsia"/>
              </w:rPr>
              <w:t>值</w:t>
            </w:r>
          </w:p>
        </w:tc>
        <w:tc>
          <w:tcPr>
            <w:tcW w:w="1218" w:type="dxa"/>
            <w:tcBorders>
              <w:top w:val="single" w:sz="4" w:space="0" w:color="000000"/>
              <w:bottom w:val="single" w:sz="4" w:space="0" w:color="000000"/>
            </w:tcBorders>
            <w:vAlign w:val="center"/>
          </w:tcPr>
          <w:p w:rsidR="0044479B" w:rsidRPr="00725237" w:rsidRDefault="0044479B" w:rsidP="00725237">
            <w:pPr>
              <w:jc w:val="center"/>
            </w:pPr>
            <w:r w:rsidRPr="00725237">
              <w:t>P</w:t>
            </w:r>
            <w:r w:rsidRPr="00725237">
              <w:rPr>
                <w:rFonts w:hint="eastAsia"/>
              </w:rPr>
              <w:t>值</w:t>
            </w:r>
          </w:p>
        </w:tc>
        <w:tc>
          <w:tcPr>
            <w:tcW w:w="1218" w:type="dxa"/>
            <w:tcBorders>
              <w:top w:val="single" w:sz="4" w:space="0" w:color="000000"/>
              <w:bottom w:val="single" w:sz="4" w:space="0" w:color="000000"/>
            </w:tcBorders>
            <w:vAlign w:val="center"/>
          </w:tcPr>
          <w:p w:rsidR="0044479B" w:rsidRPr="00725237" w:rsidRDefault="0044479B" w:rsidP="00725237">
            <w:pPr>
              <w:jc w:val="center"/>
            </w:pPr>
            <w:r w:rsidRPr="00725237">
              <w:t>95%CI</w:t>
            </w:r>
          </w:p>
        </w:tc>
      </w:tr>
      <w:tr w:rsidR="0044479B" w:rsidRPr="00725237" w:rsidTr="00725237">
        <w:tc>
          <w:tcPr>
            <w:tcW w:w="1217" w:type="dxa"/>
            <w:tcBorders>
              <w:top w:val="single" w:sz="4" w:space="0" w:color="000000"/>
            </w:tcBorders>
            <w:vAlign w:val="center"/>
          </w:tcPr>
          <w:p w:rsidR="0044479B" w:rsidRPr="00725237" w:rsidRDefault="0044479B" w:rsidP="00725237">
            <w:pPr>
              <w:jc w:val="center"/>
            </w:pPr>
            <w:r w:rsidRPr="00725237">
              <w:t>AHI</w:t>
            </w:r>
          </w:p>
        </w:tc>
        <w:tc>
          <w:tcPr>
            <w:tcW w:w="1217" w:type="dxa"/>
            <w:tcBorders>
              <w:top w:val="single" w:sz="4" w:space="0" w:color="000000"/>
            </w:tcBorders>
            <w:vAlign w:val="center"/>
          </w:tcPr>
          <w:p w:rsidR="0044479B" w:rsidRPr="00725237" w:rsidRDefault="0044479B" w:rsidP="00725237">
            <w:pPr>
              <w:jc w:val="center"/>
            </w:pPr>
            <w:r w:rsidRPr="00725237">
              <w:t>0.412</w:t>
            </w:r>
          </w:p>
        </w:tc>
        <w:tc>
          <w:tcPr>
            <w:tcW w:w="1217" w:type="dxa"/>
            <w:tcBorders>
              <w:top w:val="single" w:sz="4" w:space="0" w:color="000000"/>
            </w:tcBorders>
            <w:vAlign w:val="center"/>
          </w:tcPr>
          <w:p w:rsidR="0044479B" w:rsidRPr="00725237" w:rsidRDefault="0044479B" w:rsidP="00725237">
            <w:pPr>
              <w:jc w:val="center"/>
            </w:pPr>
            <w:r w:rsidRPr="00725237">
              <w:t>0.102</w:t>
            </w:r>
          </w:p>
        </w:tc>
        <w:tc>
          <w:tcPr>
            <w:tcW w:w="1217" w:type="dxa"/>
            <w:tcBorders>
              <w:top w:val="single" w:sz="4" w:space="0" w:color="000000"/>
            </w:tcBorders>
            <w:vAlign w:val="center"/>
          </w:tcPr>
          <w:p w:rsidR="0044479B" w:rsidRPr="00725237" w:rsidRDefault="0044479B" w:rsidP="00725237">
            <w:pPr>
              <w:jc w:val="center"/>
            </w:pPr>
            <w:r w:rsidRPr="00725237">
              <w:t>0.049</w:t>
            </w:r>
          </w:p>
        </w:tc>
        <w:tc>
          <w:tcPr>
            <w:tcW w:w="1218" w:type="dxa"/>
            <w:tcBorders>
              <w:top w:val="single" w:sz="4" w:space="0" w:color="000000"/>
            </w:tcBorders>
            <w:vAlign w:val="center"/>
          </w:tcPr>
          <w:p w:rsidR="0044479B" w:rsidRPr="00725237" w:rsidRDefault="0044479B" w:rsidP="00725237">
            <w:pPr>
              <w:jc w:val="center"/>
            </w:pPr>
            <w:r w:rsidRPr="00725237">
              <w:t>4.328</w:t>
            </w:r>
          </w:p>
        </w:tc>
        <w:tc>
          <w:tcPr>
            <w:tcW w:w="1218" w:type="dxa"/>
            <w:tcBorders>
              <w:top w:val="single" w:sz="4" w:space="0" w:color="000000"/>
            </w:tcBorders>
            <w:vAlign w:val="center"/>
          </w:tcPr>
          <w:p w:rsidR="0044479B" w:rsidRPr="00725237" w:rsidRDefault="0044479B" w:rsidP="00725237">
            <w:pPr>
              <w:jc w:val="center"/>
            </w:pPr>
            <w:r w:rsidRPr="00725237">
              <w:t>0.001</w:t>
            </w:r>
          </w:p>
        </w:tc>
        <w:tc>
          <w:tcPr>
            <w:tcW w:w="1218" w:type="dxa"/>
            <w:tcBorders>
              <w:top w:val="single" w:sz="4" w:space="0" w:color="000000"/>
            </w:tcBorders>
            <w:vAlign w:val="center"/>
          </w:tcPr>
          <w:p w:rsidR="0044479B" w:rsidRPr="00725237" w:rsidRDefault="0044479B" w:rsidP="00725237">
            <w:pPr>
              <w:jc w:val="center"/>
            </w:pPr>
            <w:r w:rsidRPr="00725237">
              <w:t>0.268-0.619</w:t>
            </w:r>
          </w:p>
        </w:tc>
      </w:tr>
      <w:tr w:rsidR="0044479B" w:rsidRPr="00725237" w:rsidTr="00725237">
        <w:tc>
          <w:tcPr>
            <w:tcW w:w="1217" w:type="dxa"/>
            <w:vAlign w:val="center"/>
          </w:tcPr>
          <w:p w:rsidR="0044479B" w:rsidRPr="00725237" w:rsidRDefault="0044479B" w:rsidP="00725237">
            <w:pPr>
              <w:jc w:val="center"/>
            </w:pPr>
            <w:r w:rsidRPr="00725237">
              <w:rPr>
                <w:rFonts w:ascii="Times New Roman"/>
                <w:szCs w:val="21"/>
              </w:rPr>
              <w:t>MSaO</w:t>
            </w:r>
            <w:r w:rsidRPr="00725237">
              <w:rPr>
                <w:rFonts w:ascii="Times New Roman"/>
                <w:szCs w:val="21"/>
                <w:vertAlign w:val="subscript"/>
              </w:rPr>
              <w:t>2</w:t>
            </w:r>
          </w:p>
        </w:tc>
        <w:tc>
          <w:tcPr>
            <w:tcW w:w="1217" w:type="dxa"/>
            <w:vAlign w:val="center"/>
          </w:tcPr>
          <w:p w:rsidR="0044479B" w:rsidRPr="00725237" w:rsidRDefault="0044479B" w:rsidP="00725237">
            <w:pPr>
              <w:jc w:val="center"/>
            </w:pPr>
            <w:r w:rsidRPr="00725237">
              <w:t>-0.157</w:t>
            </w:r>
          </w:p>
        </w:tc>
        <w:tc>
          <w:tcPr>
            <w:tcW w:w="1217" w:type="dxa"/>
            <w:vAlign w:val="center"/>
          </w:tcPr>
          <w:p w:rsidR="0044479B" w:rsidRPr="00725237" w:rsidRDefault="0044479B" w:rsidP="00725237">
            <w:pPr>
              <w:jc w:val="center"/>
            </w:pPr>
            <w:r w:rsidRPr="00725237">
              <w:t>0.009</w:t>
            </w:r>
          </w:p>
        </w:tc>
        <w:tc>
          <w:tcPr>
            <w:tcW w:w="1217" w:type="dxa"/>
            <w:vAlign w:val="center"/>
          </w:tcPr>
          <w:p w:rsidR="0044479B" w:rsidRPr="00725237" w:rsidRDefault="0044479B" w:rsidP="00725237">
            <w:pPr>
              <w:jc w:val="center"/>
            </w:pPr>
            <w:r w:rsidRPr="00725237">
              <w:t>-0.003</w:t>
            </w:r>
          </w:p>
        </w:tc>
        <w:tc>
          <w:tcPr>
            <w:tcW w:w="1218" w:type="dxa"/>
            <w:vAlign w:val="center"/>
          </w:tcPr>
          <w:p w:rsidR="0044479B" w:rsidRPr="00725237" w:rsidRDefault="0044479B" w:rsidP="00725237">
            <w:pPr>
              <w:jc w:val="center"/>
            </w:pPr>
            <w:r w:rsidRPr="00725237">
              <w:t>2.895</w:t>
            </w:r>
          </w:p>
        </w:tc>
        <w:tc>
          <w:tcPr>
            <w:tcW w:w="1218" w:type="dxa"/>
            <w:vAlign w:val="center"/>
          </w:tcPr>
          <w:p w:rsidR="0044479B" w:rsidRPr="00725237" w:rsidRDefault="0044479B" w:rsidP="00725237">
            <w:pPr>
              <w:jc w:val="center"/>
            </w:pPr>
            <w:r w:rsidRPr="00725237">
              <w:t>0.018</w:t>
            </w:r>
          </w:p>
        </w:tc>
        <w:tc>
          <w:tcPr>
            <w:tcW w:w="1218" w:type="dxa"/>
            <w:vAlign w:val="center"/>
          </w:tcPr>
          <w:p w:rsidR="0044479B" w:rsidRPr="00725237" w:rsidRDefault="0044479B" w:rsidP="00725237">
            <w:pPr>
              <w:jc w:val="center"/>
            </w:pPr>
            <w:r w:rsidRPr="00725237">
              <w:t>-0.138-0.388</w:t>
            </w:r>
          </w:p>
        </w:tc>
      </w:tr>
      <w:tr w:rsidR="0044479B" w:rsidRPr="00725237" w:rsidTr="00725237">
        <w:tc>
          <w:tcPr>
            <w:tcW w:w="1217" w:type="dxa"/>
            <w:vAlign w:val="center"/>
          </w:tcPr>
          <w:p w:rsidR="0044479B" w:rsidRPr="00725237" w:rsidRDefault="0044479B" w:rsidP="00725237">
            <w:pPr>
              <w:jc w:val="center"/>
            </w:pPr>
            <w:r w:rsidRPr="00725237">
              <w:rPr>
                <w:rFonts w:ascii="Times New Roman"/>
                <w:szCs w:val="21"/>
              </w:rPr>
              <w:t>GMP-140</w:t>
            </w:r>
          </w:p>
        </w:tc>
        <w:tc>
          <w:tcPr>
            <w:tcW w:w="1217" w:type="dxa"/>
            <w:vAlign w:val="center"/>
          </w:tcPr>
          <w:p w:rsidR="0044479B" w:rsidRPr="00725237" w:rsidRDefault="0044479B" w:rsidP="00725237">
            <w:pPr>
              <w:jc w:val="center"/>
            </w:pPr>
            <w:r w:rsidRPr="00725237">
              <w:t>0.786</w:t>
            </w:r>
          </w:p>
        </w:tc>
        <w:tc>
          <w:tcPr>
            <w:tcW w:w="1217" w:type="dxa"/>
            <w:vAlign w:val="center"/>
          </w:tcPr>
          <w:p w:rsidR="0044479B" w:rsidRPr="00725237" w:rsidRDefault="0044479B" w:rsidP="00725237">
            <w:pPr>
              <w:jc w:val="center"/>
            </w:pPr>
            <w:r w:rsidRPr="00725237">
              <w:t>0.238</w:t>
            </w:r>
          </w:p>
        </w:tc>
        <w:tc>
          <w:tcPr>
            <w:tcW w:w="1217" w:type="dxa"/>
            <w:vAlign w:val="center"/>
          </w:tcPr>
          <w:p w:rsidR="0044479B" w:rsidRPr="00725237" w:rsidRDefault="0044479B" w:rsidP="00725237">
            <w:pPr>
              <w:jc w:val="center"/>
            </w:pPr>
            <w:r w:rsidRPr="00725237">
              <w:t>0.210</w:t>
            </w:r>
          </w:p>
        </w:tc>
        <w:tc>
          <w:tcPr>
            <w:tcW w:w="1218" w:type="dxa"/>
            <w:vAlign w:val="center"/>
          </w:tcPr>
          <w:p w:rsidR="0044479B" w:rsidRPr="00725237" w:rsidRDefault="0044479B" w:rsidP="00725237">
            <w:pPr>
              <w:jc w:val="center"/>
            </w:pPr>
            <w:r w:rsidRPr="00725237">
              <w:t>5.642</w:t>
            </w:r>
          </w:p>
        </w:tc>
        <w:tc>
          <w:tcPr>
            <w:tcW w:w="1218" w:type="dxa"/>
            <w:vAlign w:val="center"/>
          </w:tcPr>
          <w:p w:rsidR="0044479B" w:rsidRPr="00725237" w:rsidRDefault="0044479B" w:rsidP="00725237">
            <w:pPr>
              <w:jc w:val="center"/>
            </w:pPr>
            <w:r w:rsidRPr="00725237">
              <w:t>0.001</w:t>
            </w:r>
          </w:p>
        </w:tc>
        <w:tc>
          <w:tcPr>
            <w:tcW w:w="1218" w:type="dxa"/>
            <w:vAlign w:val="center"/>
          </w:tcPr>
          <w:p w:rsidR="0044479B" w:rsidRPr="00725237" w:rsidRDefault="0044479B" w:rsidP="00725237">
            <w:pPr>
              <w:jc w:val="center"/>
            </w:pPr>
            <w:r w:rsidRPr="00725237">
              <w:t>0.418-1.135</w:t>
            </w:r>
          </w:p>
        </w:tc>
      </w:tr>
      <w:tr w:rsidR="0044479B" w:rsidRPr="00725237" w:rsidTr="00725237">
        <w:tc>
          <w:tcPr>
            <w:tcW w:w="1217" w:type="dxa"/>
            <w:vAlign w:val="center"/>
          </w:tcPr>
          <w:p w:rsidR="0044479B" w:rsidRPr="00725237" w:rsidRDefault="0044479B" w:rsidP="00725237">
            <w:pPr>
              <w:jc w:val="center"/>
            </w:pPr>
            <w:r w:rsidRPr="00725237">
              <w:rPr>
                <w:rFonts w:ascii="Times New Roman"/>
                <w:szCs w:val="21"/>
              </w:rPr>
              <w:t>vWF</w:t>
            </w:r>
          </w:p>
        </w:tc>
        <w:tc>
          <w:tcPr>
            <w:tcW w:w="1217" w:type="dxa"/>
            <w:vAlign w:val="center"/>
          </w:tcPr>
          <w:p w:rsidR="0044479B" w:rsidRPr="00725237" w:rsidRDefault="0044479B" w:rsidP="00725237">
            <w:pPr>
              <w:jc w:val="center"/>
            </w:pPr>
            <w:r w:rsidRPr="00725237">
              <w:t>0.623</w:t>
            </w:r>
          </w:p>
        </w:tc>
        <w:tc>
          <w:tcPr>
            <w:tcW w:w="1217" w:type="dxa"/>
            <w:vAlign w:val="center"/>
          </w:tcPr>
          <w:p w:rsidR="0044479B" w:rsidRPr="00725237" w:rsidRDefault="0044479B" w:rsidP="00725237">
            <w:pPr>
              <w:jc w:val="center"/>
            </w:pPr>
            <w:r w:rsidRPr="00725237">
              <w:t>0.119</w:t>
            </w:r>
          </w:p>
        </w:tc>
        <w:tc>
          <w:tcPr>
            <w:tcW w:w="1217" w:type="dxa"/>
            <w:vAlign w:val="center"/>
          </w:tcPr>
          <w:p w:rsidR="0044479B" w:rsidRPr="00725237" w:rsidRDefault="0044479B" w:rsidP="00725237">
            <w:pPr>
              <w:jc w:val="center"/>
            </w:pPr>
            <w:r w:rsidRPr="00725237">
              <w:t>0.108</w:t>
            </w:r>
          </w:p>
        </w:tc>
        <w:tc>
          <w:tcPr>
            <w:tcW w:w="1218" w:type="dxa"/>
            <w:vAlign w:val="center"/>
          </w:tcPr>
          <w:p w:rsidR="0044479B" w:rsidRPr="00725237" w:rsidRDefault="0044479B" w:rsidP="00725237">
            <w:pPr>
              <w:jc w:val="center"/>
            </w:pPr>
            <w:r w:rsidRPr="00725237">
              <w:t>4.986</w:t>
            </w:r>
          </w:p>
        </w:tc>
        <w:tc>
          <w:tcPr>
            <w:tcW w:w="1218" w:type="dxa"/>
            <w:vAlign w:val="center"/>
          </w:tcPr>
          <w:p w:rsidR="0044479B" w:rsidRPr="00725237" w:rsidRDefault="0044479B" w:rsidP="00725237">
            <w:pPr>
              <w:jc w:val="center"/>
            </w:pPr>
            <w:r w:rsidRPr="00725237">
              <w:t>0.001</w:t>
            </w:r>
          </w:p>
        </w:tc>
        <w:tc>
          <w:tcPr>
            <w:tcW w:w="1218" w:type="dxa"/>
            <w:vAlign w:val="center"/>
          </w:tcPr>
          <w:p w:rsidR="0044479B" w:rsidRPr="00725237" w:rsidRDefault="0044479B" w:rsidP="00725237">
            <w:pPr>
              <w:jc w:val="center"/>
            </w:pPr>
            <w:r w:rsidRPr="00725237">
              <w:t>0.501-0.984</w:t>
            </w:r>
          </w:p>
        </w:tc>
      </w:tr>
      <w:tr w:rsidR="0044479B" w:rsidRPr="00725237" w:rsidTr="00725237">
        <w:tc>
          <w:tcPr>
            <w:tcW w:w="1217" w:type="dxa"/>
            <w:tcBorders>
              <w:bottom w:val="single" w:sz="4" w:space="0" w:color="000000"/>
            </w:tcBorders>
            <w:vAlign w:val="center"/>
          </w:tcPr>
          <w:p w:rsidR="0044479B" w:rsidRPr="00725237" w:rsidRDefault="0044479B" w:rsidP="00725237">
            <w:pPr>
              <w:jc w:val="center"/>
            </w:pPr>
            <w:r w:rsidRPr="00725237">
              <w:t>t-PA</w:t>
            </w:r>
          </w:p>
        </w:tc>
        <w:tc>
          <w:tcPr>
            <w:tcW w:w="1217" w:type="dxa"/>
            <w:tcBorders>
              <w:bottom w:val="single" w:sz="4" w:space="0" w:color="000000"/>
            </w:tcBorders>
            <w:vAlign w:val="center"/>
          </w:tcPr>
          <w:p w:rsidR="0044479B" w:rsidRPr="00725237" w:rsidRDefault="0044479B" w:rsidP="00725237">
            <w:pPr>
              <w:jc w:val="center"/>
            </w:pPr>
            <w:r w:rsidRPr="00725237">
              <w:t>-0.569</w:t>
            </w:r>
          </w:p>
        </w:tc>
        <w:tc>
          <w:tcPr>
            <w:tcW w:w="1217" w:type="dxa"/>
            <w:tcBorders>
              <w:bottom w:val="single" w:sz="4" w:space="0" w:color="000000"/>
            </w:tcBorders>
            <w:vAlign w:val="center"/>
          </w:tcPr>
          <w:p w:rsidR="0044479B" w:rsidRPr="00725237" w:rsidRDefault="0044479B" w:rsidP="00725237">
            <w:pPr>
              <w:jc w:val="center"/>
            </w:pPr>
            <w:r w:rsidRPr="00725237">
              <w:t>0.216</w:t>
            </w:r>
          </w:p>
        </w:tc>
        <w:tc>
          <w:tcPr>
            <w:tcW w:w="1217" w:type="dxa"/>
            <w:tcBorders>
              <w:bottom w:val="single" w:sz="4" w:space="0" w:color="000000"/>
            </w:tcBorders>
            <w:vAlign w:val="center"/>
          </w:tcPr>
          <w:p w:rsidR="0044479B" w:rsidRPr="00725237" w:rsidRDefault="0044479B" w:rsidP="00725237">
            <w:pPr>
              <w:jc w:val="center"/>
            </w:pPr>
            <w:r w:rsidRPr="00725237">
              <w:t>0.098</w:t>
            </w:r>
          </w:p>
        </w:tc>
        <w:tc>
          <w:tcPr>
            <w:tcW w:w="1218" w:type="dxa"/>
            <w:tcBorders>
              <w:bottom w:val="single" w:sz="4" w:space="0" w:color="000000"/>
            </w:tcBorders>
            <w:vAlign w:val="center"/>
          </w:tcPr>
          <w:p w:rsidR="0044479B" w:rsidRPr="00725237" w:rsidRDefault="0044479B" w:rsidP="00725237">
            <w:pPr>
              <w:jc w:val="center"/>
            </w:pPr>
            <w:r w:rsidRPr="00725237">
              <w:t>3.684</w:t>
            </w:r>
          </w:p>
        </w:tc>
        <w:tc>
          <w:tcPr>
            <w:tcW w:w="1218" w:type="dxa"/>
            <w:tcBorders>
              <w:bottom w:val="single" w:sz="4" w:space="0" w:color="000000"/>
            </w:tcBorders>
            <w:vAlign w:val="center"/>
          </w:tcPr>
          <w:p w:rsidR="0044479B" w:rsidRPr="00725237" w:rsidRDefault="0044479B" w:rsidP="00725237">
            <w:pPr>
              <w:jc w:val="center"/>
            </w:pPr>
            <w:r w:rsidRPr="00725237">
              <w:t>0.001</w:t>
            </w:r>
          </w:p>
        </w:tc>
        <w:tc>
          <w:tcPr>
            <w:tcW w:w="1218" w:type="dxa"/>
            <w:tcBorders>
              <w:bottom w:val="single" w:sz="4" w:space="0" w:color="000000"/>
            </w:tcBorders>
            <w:vAlign w:val="center"/>
          </w:tcPr>
          <w:p w:rsidR="0044479B" w:rsidRPr="00725237" w:rsidRDefault="0044479B" w:rsidP="00725237">
            <w:pPr>
              <w:jc w:val="center"/>
            </w:pPr>
            <w:r w:rsidRPr="00725237">
              <w:t>0.227-0.853</w:t>
            </w:r>
          </w:p>
        </w:tc>
      </w:tr>
    </w:tbl>
    <w:p w:rsidR="0044479B" w:rsidRDefault="0044479B"/>
    <w:p w:rsidR="0044479B" w:rsidRDefault="0044479B">
      <w:pPr>
        <w:rPr>
          <w:rFonts w:ascii="Times New Roman"/>
          <w:szCs w:val="21"/>
        </w:rPr>
      </w:pPr>
      <w:r>
        <w:rPr>
          <w:rFonts w:ascii="Times New Roman" w:hint="eastAsia"/>
          <w:szCs w:val="21"/>
        </w:rPr>
        <w:t>讨</w:t>
      </w:r>
      <w:r>
        <w:rPr>
          <w:rFonts w:ascii="Times New Roman"/>
          <w:szCs w:val="21"/>
        </w:rPr>
        <w:t xml:space="preserve">  </w:t>
      </w:r>
      <w:r>
        <w:rPr>
          <w:rFonts w:ascii="Times New Roman" w:hint="eastAsia"/>
          <w:szCs w:val="21"/>
        </w:rPr>
        <w:t>论</w:t>
      </w:r>
    </w:p>
    <w:p w:rsidR="0044479B" w:rsidRDefault="0044479B" w:rsidP="001664F6">
      <w:pPr>
        <w:ind w:firstLine="435"/>
        <w:rPr>
          <w:rFonts w:ascii="Times New Roman"/>
          <w:szCs w:val="21"/>
        </w:rPr>
      </w:pPr>
      <w:r>
        <w:rPr>
          <w:rFonts w:ascii="Times New Roman" w:hint="eastAsia"/>
          <w:szCs w:val="21"/>
        </w:rPr>
        <w:t>研究显示，未经治疗的重度</w:t>
      </w:r>
      <w:r>
        <w:rPr>
          <w:rFonts w:ascii="Times New Roman"/>
          <w:szCs w:val="21"/>
        </w:rPr>
        <w:t>OSAHS</w:t>
      </w:r>
      <w:r>
        <w:rPr>
          <w:rFonts w:ascii="Times New Roman" w:hint="eastAsia"/>
          <w:szCs w:val="21"/>
        </w:rPr>
        <w:t>患者</w:t>
      </w:r>
      <w:r>
        <w:rPr>
          <w:rFonts w:ascii="Times New Roman"/>
          <w:szCs w:val="21"/>
        </w:rPr>
        <w:t>5</w:t>
      </w:r>
      <w:r>
        <w:rPr>
          <w:rFonts w:ascii="Times New Roman" w:hint="eastAsia"/>
          <w:szCs w:val="21"/>
        </w:rPr>
        <w:t>年的病死率高达</w:t>
      </w:r>
      <w:r>
        <w:rPr>
          <w:rFonts w:ascii="Times New Roman"/>
          <w:szCs w:val="21"/>
        </w:rPr>
        <w:t>11%-13%</w:t>
      </w:r>
      <w:r w:rsidRPr="008F0FE5">
        <w:rPr>
          <w:color w:val="595959"/>
          <w:vertAlign w:val="superscript"/>
        </w:rPr>
        <w:t>[4]</w:t>
      </w:r>
      <w:r>
        <w:rPr>
          <w:rFonts w:ascii="Times New Roman" w:hint="eastAsia"/>
          <w:szCs w:val="21"/>
        </w:rPr>
        <w:t>，其主要的死亡原因为心脑血管并发症</w:t>
      </w:r>
      <w:r w:rsidRPr="008F0FE5">
        <w:rPr>
          <w:color w:val="595959"/>
          <w:vertAlign w:val="superscript"/>
        </w:rPr>
        <w:t>[5]</w:t>
      </w:r>
      <w:r>
        <w:rPr>
          <w:rFonts w:ascii="Times New Roman" w:hint="eastAsia"/>
          <w:szCs w:val="21"/>
        </w:rPr>
        <w:t>。我们早期研究表明</w:t>
      </w:r>
      <w:r>
        <w:rPr>
          <w:rFonts w:ascii="Times New Roman"/>
          <w:szCs w:val="21"/>
        </w:rPr>
        <w:t>OSAHS</w:t>
      </w:r>
      <w:r>
        <w:rPr>
          <w:rFonts w:ascii="Times New Roman" w:hint="eastAsia"/>
          <w:szCs w:val="21"/>
        </w:rPr>
        <w:t>能够导致患者血管内皮损害，与冠心病密切相关</w:t>
      </w:r>
      <w:r w:rsidRPr="008F0FE5">
        <w:rPr>
          <w:color w:val="595959"/>
          <w:vertAlign w:val="superscript"/>
        </w:rPr>
        <w:t>[6]</w:t>
      </w:r>
      <w:r>
        <w:rPr>
          <w:rFonts w:ascii="Times New Roman" w:hint="eastAsia"/>
          <w:szCs w:val="21"/>
        </w:rPr>
        <w:t>；同时诸多研究显示</w:t>
      </w:r>
      <w:r>
        <w:rPr>
          <w:rFonts w:ascii="Times New Roman"/>
          <w:szCs w:val="21"/>
        </w:rPr>
        <w:t>OSAHS</w:t>
      </w:r>
      <w:r>
        <w:rPr>
          <w:rFonts w:ascii="Times New Roman" w:hint="eastAsia"/>
          <w:szCs w:val="21"/>
        </w:rPr>
        <w:t>存在着颈动脉内膜增厚，同时也是预测患者是否发生冠心病的指标之一</w:t>
      </w:r>
      <w:r w:rsidRPr="008F0FE5">
        <w:rPr>
          <w:color w:val="7F7F7F"/>
          <w:vertAlign w:val="superscript"/>
        </w:rPr>
        <w:t>[2,7]</w:t>
      </w:r>
      <w:r>
        <w:rPr>
          <w:rFonts w:ascii="Times New Roman" w:hint="eastAsia"/>
          <w:szCs w:val="21"/>
        </w:rPr>
        <w:t>。冠心病患者体内存在着明显的血栓形成前状态（</w:t>
      </w:r>
      <w:r>
        <w:rPr>
          <w:rFonts w:ascii="Times New Roman"/>
          <w:szCs w:val="21"/>
        </w:rPr>
        <w:t>PTS</w:t>
      </w:r>
      <w:r>
        <w:rPr>
          <w:rFonts w:ascii="Times New Roman" w:hint="eastAsia"/>
          <w:szCs w:val="21"/>
        </w:rPr>
        <w:t>），</w:t>
      </w:r>
      <w:r>
        <w:rPr>
          <w:rFonts w:ascii="Times New Roman"/>
          <w:szCs w:val="21"/>
        </w:rPr>
        <w:t>PTS</w:t>
      </w:r>
      <w:r>
        <w:rPr>
          <w:rFonts w:ascii="Times New Roman" w:hint="eastAsia"/>
          <w:szCs w:val="21"/>
        </w:rPr>
        <w:t>也是血管内皮损伤的标志之一。</w:t>
      </w:r>
      <w:r>
        <w:rPr>
          <w:rFonts w:ascii="Times New Roman"/>
          <w:szCs w:val="21"/>
        </w:rPr>
        <w:t>OSAHS</w:t>
      </w:r>
      <w:r>
        <w:rPr>
          <w:rFonts w:ascii="Times New Roman" w:hint="eastAsia"/>
          <w:szCs w:val="21"/>
        </w:rPr>
        <w:t>与各种心血管疾病密切相关，患者中是否同时存在这</w:t>
      </w:r>
      <w:r>
        <w:rPr>
          <w:rFonts w:ascii="Times New Roman"/>
          <w:szCs w:val="21"/>
        </w:rPr>
        <w:t>PTS</w:t>
      </w:r>
      <w:r>
        <w:rPr>
          <w:rFonts w:ascii="Times New Roman" w:hint="eastAsia"/>
          <w:szCs w:val="21"/>
        </w:rPr>
        <w:t>的变化及颈动脉增厚以及这两者之间是否存在着相关联系，目前国内尚无相关明确的研究证实。</w:t>
      </w:r>
    </w:p>
    <w:p w:rsidR="0044479B" w:rsidRDefault="0044479B" w:rsidP="001664F6">
      <w:pPr>
        <w:ind w:firstLine="435"/>
      </w:pPr>
      <w:r>
        <w:rPr>
          <w:rFonts w:ascii="Times New Roman" w:hint="eastAsia"/>
          <w:szCs w:val="21"/>
        </w:rPr>
        <w:t>本文研究显示，</w:t>
      </w:r>
      <w:r>
        <w:rPr>
          <w:rFonts w:ascii="Times New Roman"/>
          <w:szCs w:val="21"/>
        </w:rPr>
        <w:t>OSAHS</w:t>
      </w:r>
      <w:r>
        <w:rPr>
          <w:rFonts w:ascii="Times New Roman" w:hint="eastAsia"/>
          <w:szCs w:val="21"/>
        </w:rPr>
        <w:t>患者血清</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w:t>
      </w:r>
      <w:r>
        <w:rPr>
          <w:rFonts w:ascii="Times New Roman"/>
          <w:szCs w:val="21"/>
        </w:rPr>
        <w:t>Fbg</w:t>
      </w:r>
      <w:r>
        <w:rPr>
          <w:rFonts w:ascii="Times New Roman" w:hint="eastAsia"/>
          <w:szCs w:val="21"/>
        </w:rPr>
        <w:t>、</w:t>
      </w:r>
      <w:r>
        <w:rPr>
          <w:rFonts w:ascii="Times New Roman"/>
          <w:szCs w:val="21"/>
        </w:rPr>
        <w:t>PAI-1</w:t>
      </w:r>
      <w:r>
        <w:rPr>
          <w:rFonts w:ascii="Times New Roman" w:hint="eastAsia"/>
          <w:szCs w:val="21"/>
        </w:rPr>
        <w:t>水平高于对照组；血清</w:t>
      </w:r>
      <w:r>
        <w:rPr>
          <w:rFonts w:ascii="Times New Roman"/>
          <w:szCs w:val="21"/>
        </w:rPr>
        <w:t>AT</w:t>
      </w:r>
      <w:r w:rsidRPr="00A31A63">
        <w:rPr>
          <w:rFonts w:hint="eastAsia"/>
        </w:rPr>
        <w:t>Ⅲ</w:t>
      </w:r>
      <w:r>
        <w:rPr>
          <w:rFonts w:hint="eastAsia"/>
        </w:rPr>
        <w:t>、</w:t>
      </w:r>
      <w:r>
        <w:t>t-PA</w:t>
      </w:r>
      <w:r>
        <w:rPr>
          <w:rFonts w:hint="eastAsia"/>
        </w:rPr>
        <w:t>水平低于对照组；颈动脉内膜中层厚度高于对照组。同时相关分析显示</w:t>
      </w:r>
      <w:r>
        <w:t>PTS</w:t>
      </w:r>
      <w:r>
        <w:rPr>
          <w:rFonts w:hint="eastAsia"/>
        </w:rPr>
        <w:t>相关分子水平与</w:t>
      </w:r>
      <w:r>
        <w:t>IMT</w:t>
      </w:r>
      <w:r>
        <w:rPr>
          <w:rFonts w:hint="eastAsia"/>
        </w:rPr>
        <w:t>正相关或负相关，并与患者的</w:t>
      </w:r>
      <w:r>
        <w:t>AHI</w:t>
      </w:r>
      <w:r>
        <w:rPr>
          <w:rFonts w:hint="eastAsia"/>
        </w:rPr>
        <w:t>及</w:t>
      </w:r>
      <w:r>
        <w:rPr>
          <w:rFonts w:ascii="Times New Roman"/>
          <w:szCs w:val="21"/>
        </w:rPr>
        <w:t>MSaO</w:t>
      </w:r>
      <w:r w:rsidRPr="006217BC">
        <w:rPr>
          <w:rFonts w:ascii="Times New Roman"/>
          <w:szCs w:val="21"/>
          <w:vertAlign w:val="subscript"/>
        </w:rPr>
        <w:t>2</w:t>
      </w:r>
      <w:r>
        <w:rPr>
          <w:rFonts w:ascii="Times New Roman" w:hint="eastAsia"/>
          <w:szCs w:val="21"/>
        </w:rPr>
        <w:t>和</w:t>
      </w:r>
      <w:r>
        <w:rPr>
          <w:rFonts w:ascii="Times New Roman"/>
          <w:szCs w:val="21"/>
        </w:rPr>
        <w:t>LSaO</w:t>
      </w:r>
      <w:r w:rsidRPr="006217BC">
        <w:rPr>
          <w:rFonts w:ascii="Times New Roman"/>
          <w:szCs w:val="21"/>
          <w:vertAlign w:val="subscript"/>
        </w:rPr>
        <w:t>2</w:t>
      </w:r>
      <w:r>
        <w:rPr>
          <w:rFonts w:ascii="Times New Roman" w:hint="eastAsia"/>
          <w:szCs w:val="21"/>
        </w:rPr>
        <w:t>负相关。多元回归结果显示，患者</w:t>
      </w:r>
      <w:r>
        <w:rPr>
          <w:rFonts w:ascii="Times New Roman"/>
          <w:szCs w:val="21"/>
        </w:rPr>
        <w:t>IMT</w:t>
      </w:r>
      <w:r>
        <w:rPr>
          <w:rFonts w:ascii="Times New Roman" w:hint="eastAsia"/>
          <w:szCs w:val="21"/>
        </w:rPr>
        <w:t>除与</w:t>
      </w:r>
      <w:r>
        <w:rPr>
          <w:rFonts w:ascii="Times New Roman"/>
          <w:szCs w:val="21"/>
        </w:rPr>
        <w:t>AHI</w:t>
      </w:r>
      <w:r>
        <w:rPr>
          <w:rFonts w:ascii="Times New Roman" w:hint="eastAsia"/>
          <w:szCs w:val="21"/>
        </w:rPr>
        <w:t>和</w:t>
      </w:r>
      <w:r>
        <w:rPr>
          <w:rFonts w:ascii="Times New Roman"/>
          <w:szCs w:val="21"/>
        </w:rPr>
        <w:t>MSaO</w:t>
      </w:r>
      <w:r w:rsidRPr="006217BC">
        <w:rPr>
          <w:rFonts w:ascii="Times New Roman"/>
          <w:szCs w:val="21"/>
          <w:vertAlign w:val="subscript"/>
        </w:rPr>
        <w:t>2</w:t>
      </w:r>
      <w:r>
        <w:rPr>
          <w:rFonts w:ascii="Times New Roman" w:hint="eastAsia"/>
          <w:szCs w:val="21"/>
        </w:rPr>
        <w:t>相关外，还与</w:t>
      </w:r>
      <w:r>
        <w:rPr>
          <w:rFonts w:ascii="Times New Roman"/>
          <w:szCs w:val="21"/>
        </w:rPr>
        <w:t>GMP-140</w:t>
      </w:r>
      <w:r>
        <w:rPr>
          <w:rFonts w:ascii="Times New Roman" w:hint="eastAsia"/>
          <w:szCs w:val="21"/>
        </w:rPr>
        <w:t>、</w:t>
      </w:r>
      <w:r>
        <w:rPr>
          <w:rFonts w:ascii="Times New Roman"/>
          <w:szCs w:val="21"/>
        </w:rPr>
        <w:t>vWF</w:t>
      </w:r>
      <w:r>
        <w:rPr>
          <w:rFonts w:ascii="Times New Roman" w:hint="eastAsia"/>
          <w:szCs w:val="21"/>
        </w:rPr>
        <w:t>和</w:t>
      </w:r>
      <w:r>
        <w:t>t-PA</w:t>
      </w:r>
      <w:r>
        <w:rPr>
          <w:rFonts w:hint="eastAsia"/>
        </w:rPr>
        <w:t>水平呈线性相关。其研究结果说明，</w:t>
      </w:r>
      <w:r>
        <w:t>IMT</w:t>
      </w:r>
      <w:r>
        <w:rPr>
          <w:rFonts w:hint="eastAsia"/>
        </w:rPr>
        <w:t>可以作为独立危险因素影响患者的</w:t>
      </w:r>
      <w:r>
        <w:t>PTS</w:t>
      </w:r>
      <w:r>
        <w:rPr>
          <w:rFonts w:hint="eastAsia"/>
        </w:rPr>
        <w:t>水平。</w:t>
      </w:r>
    </w:p>
    <w:p w:rsidR="0044479B" w:rsidRPr="00C321D2" w:rsidRDefault="0044479B" w:rsidP="001664F6">
      <w:pPr>
        <w:ind w:firstLine="435"/>
        <w:rPr>
          <w:rFonts w:ascii="Times New Roman"/>
          <w:szCs w:val="21"/>
        </w:rPr>
      </w:pPr>
      <w:r>
        <w:t>GMP-140</w:t>
      </w:r>
      <w:r>
        <w:rPr>
          <w:rFonts w:hint="eastAsia"/>
        </w:rPr>
        <w:t>存在于血小板</w:t>
      </w:r>
      <w:r>
        <w:rPr>
          <w:rFonts w:ascii="Times New Roman" w:hAnsi="Times New Roman"/>
        </w:rPr>
        <w:t>α</w:t>
      </w:r>
      <w:r>
        <w:t>-</w:t>
      </w:r>
      <w:r>
        <w:rPr>
          <w:rFonts w:hint="eastAsia"/>
        </w:rPr>
        <w:t>颗粒膜和血管内皮细胞的</w:t>
      </w:r>
      <w:r>
        <w:t>Weibel-Pzlade</w:t>
      </w:r>
      <w:r>
        <w:rPr>
          <w:rFonts w:hint="eastAsia"/>
        </w:rPr>
        <w:t>小体内，仅在血小板活化时整合到血小板表面，成为血小板活化的特异性指标</w:t>
      </w:r>
      <w:r w:rsidRPr="008F0FE5">
        <w:rPr>
          <w:color w:val="595959"/>
          <w:vertAlign w:val="superscript"/>
        </w:rPr>
        <w:t>[8]</w:t>
      </w:r>
      <w:r>
        <w:rPr>
          <w:rFonts w:hint="eastAsia"/>
        </w:rPr>
        <w:t>。</w:t>
      </w:r>
      <w:r>
        <w:t>vWF</w:t>
      </w:r>
      <w:r>
        <w:rPr>
          <w:rFonts w:hint="eastAsia"/>
        </w:rPr>
        <w:t>主要由血管内皮细胞合成，是血管内皮损伤的敏感指标之一</w:t>
      </w:r>
      <w:r w:rsidRPr="008F0FE5">
        <w:rPr>
          <w:color w:val="404040"/>
          <w:vertAlign w:val="superscript"/>
        </w:rPr>
        <w:t>[9]</w:t>
      </w:r>
      <w:r>
        <w:rPr>
          <w:rFonts w:hint="eastAsia"/>
        </w:rPr>
        <w:t>。</w:t>
      </w:r>
      <w:r>
        <w:t>t-PA</w:t>
      </w:r>
      <w:r>
        <w:rPr>
          <w:rFonts w:hint="eastAsia"/>
        </w:rPr>
        <w:t>是组织型纤溶酶激活剂，促进纤维蛋白降解及溶解血栓，但</w:t>
      </w:r>
      <w:r>
        <w:t>PAI-1</w:t>
      </w:r>
      <w:r>
        <w:rPr>
          <w:rFonts w:hint="eastAsia"/>
        </w:rPr>
        <w:t>在此过程中起着重要的抑制作用，两者比例的失调容易导致血管内皮的损伤及血栓的形成</w:t>
      </w:r>
      <w:r w:rsidRPr="008F0FE5">
        <w:rPr>
          <w:color w:val="595959"/>
          <w:vertAlign w:val="superscript"/>
        </w:rPr>
        <w:t>[10]</w:t>
      </w:r>
      <w:r>
        <w:rPr>
          <w:rFonts w:hint="eastAsia"/>
        </w:rPr>
        <w:t>。</w:t>
      </w:r>
      <w:r>
        <w:t>Fbg</w:t>
      </w:r>
      <w:r>
        <w:rPr>
          <w:rFonts w:hint="eastAsia"/>
        </w:rPr>
        <w:t>是血浆中含量最高的凝血因子，是血小板聚集的重要递质，也参与血管的损伤及血栓的形成过程，与动脉硬化及狭窄程度密切相关。对于</w:t>
      </w:r>
      <w:r>
        <w:t>OSAHS</w:t>
      </w:r>
      <w:r>
        <w:rPr>
          <w:rFonts w:hint="eastAsia"/>
        </w:rPr>
        <w:t>患者</w:t>
      </w:r>
      <w:r>
        <w:t>PTS</w:t>
      </w:r>
      <w:r>
        <w:rPr>
          <w:rFonts w:hint="eastAsia"/>
        </w:rPr>
        <w:t>分子水平的异常改变目前机制尚不明确，基于在其他心血管疾病的研究机制，我们推测其可能的机制为：由于</w:t>
      </w:r>
      <w:r>
        <w:t>OSAHS</w:t>
      </w:r>
      <w:r>
        <w:rPr>
          <w:rFonts w:hint="eastAsia"/>
        </w:rPr>
        <w:t>患者长期存在的低氧和间断低氧导致的氧化应激状态，导致机体分泌多种炎症介质，从而促进血管平滑肌细胞增生和内皮通透性增加而导致血管病变。同时</w:t>
      </w:r>
      <w:r>
        <w:t>OSAHS</w:t>
      </w:r>
      <w:r>
        <w:rPr>
          <w:rFonts w:hint="eastAsia"/>
        </w:rPr>
        <w:t>患者大多存在着胰岛素抵抗、儿茶酚胺水平增高、组织缺血缺氧及神经内分泌失调等因素</w:t>
      </w:r>
      <w:r w:rsidRPr="008F0FE5">
        <w:rPr>
          <w:color w:val="7F7F7F"/>
          <w:vertAlign w:val="superscript"/>
        </w:rPr>
        <w:t>[11,</w:t>
      </w:r>
      <w:r>
        <w:rPr>
          <w:color w:val="7F7F7F"/>
          <w:vertAlign w:val="superscript"/>
        </w:rPr>
        <w:t>12</w:t>
      </w:r>
      <w:r w:rsidRPr="008F0FE5">
        <w:rPr>
          <w:color w:val="7F7F7F"/>
          <w:vertAlign w:val="superscript"/>
        </w:rPr>
        <w:t>]</w:t>
      </w:r>
      <w:r>
        <w:rPr>
          <w:rFonts w:hint="eastAsia"/>
        </w:rPr>
        <w:t>，这些均可以导致患者血液瘀滞、血液动力学和血液流变学改变异常，导致血管内皮损伤及血小板活化，从而是</w:t>
      </w:r>
      <w:r>
        <w:t>PTS</w:t>
      </w:r>
      <w:r>
        <w:rPr>
          <w:rFonts w:hint="eastAsia"/>
        </w:rPr>
        <w:t>等分子水平发生异常改变。由于血管内皮的损伤以及血小板活化增强，从而促进血管平滑肌细胞成熟及延长其寿命最终导致动脉粥样硬化斑块形成，导致颈动脉内膜增厚。</w:t>
      </w:r>
    </w:p>
    <w:p w:rsidR="0044479B" w:rsidRDefault="0044479B">
      <w:pPr>
        <w:rPr>
          <w:rFonts w:ascii="Times New Roman"/>
          <w:szCs w:val="21"/>
        </w:rPr>
      </w:pPr>
      <w:r>
        <w:rPr>
          <w:rFonts w:ascii="Times New Roman"/>
          <w:szCs w:val="21"/>
        </w:rPr>
        <w:t xml:space="preserve">     </w:t>
      </w:r>
      <w:r>
        <w:rPr>
          <w:rFonts w:ascii="Times New Roman" w:hint="eastAsia"/>
          <w:szCs w:val="21"/>
        </w:rPr>
        <w:t>综上所述，</w:t>
      </w:r>
      <w:r>
        <w:rPr>
          <w:rFonts w:ascii="Times New Roman"/>
          <w:szCs w:val="21"/>
        </w:rPr>
        <w:t>OSAHS</w:t>
      </w:r>
      <w:r>
        <w:rPr>
          <w:rFonts w:ascii="Times New Roman" w:hint="eastAsia"/>
          <w:szCs w:val="21"/>
        </w:rPr>
        <w:t>患者存在着明显的</w:t>
      </w:r>
      <w:r>
        <w:rPr>
          <w:rFonts w:ascii="Times New Roman"/>
          <w:szCs w:val="21"/>
        </w:rPr>
        <w:t>PTS</w:t>
      </w:r>
      <w:r>
        <w:rPr>
          <w:rFonts w:ascii="Times New Roman" w:hint="eastAsia"/>
          <w:szCs w:val="21"/>
        </w:rPr>
        <w:t>，同时颈动脉内膜增厚明显。患者</w:t>
      </w:r>
      <w:r>
        <w:rPr>
          <w:rFonts w:ascii="Times New Roman"/>
          <w:szCs w:val="21"/>
        </w:rPr>
        <w:t>PTS</w:t>
      </w:r>
      <w:r>
        <w:rPr>
          <w:rFonts w:ascii="Times New Roman" w:hint="eastAsia"/>
          <w:szCs w:val="21"/>
        </w:rPr>
        <w:t>在</w:t>
      </w:r>
      <w:r>
        <w:rPr>
          <w:rFonts w:ascii="Times New Roman"/>
          <w:szCs w:val="21"/>
        </w:rPr>
        <w:t>IMT</w:t>
      </w:r>
      <w:r>
        <w:rPr>
          <w:rFonts w:ascii="Times New Roman" w:hint="eastAsia"/>
          <w:szCs w:val="21"/>
        </w:rPr>
        <w:t>的形成过程中起着重要的作用，临床工作中对于确诊的</w:t>
      </w:r>
      <w:r>
        <w:rPr>
          <w:rFonts w:ascii="Times New Roman"/>
          <w:szCs w:val="21"/>
        </w:rPr>
        <w:t>OSAHS</w:t>
      </w:r>
      <w:r>
        <w:rPr>
          <w:rFonts w:ascii="Times New Roman" w:hint="eastAsia"/>
          <w:szCs w:val="21"/>
        </w:rPr>
        <w:t>患者需要引起重视，必要时采取积极有效的干预措施，阻断</w:t>
      </w:r>
      <w:r>
        <w:rPr>
          <w:rFonts w:ascii="Times New Roman"/>
          <w:szCs w:val="21"/>
        </w:rPr>
        <w:t>IMT</w:t>
      </w:r>
      <w:r>
        <w:rPr>
          <w:rFonts w:ascii="Times New Roman" w:hint="eastAsia"/>
          <w:szCs w:val="21"/>
        </w:rPr>
        <w:t>相关疾病的发生发展。</w:t>
      </w:r>
      <w:r>
        <w:rPr>
          <w:rFonts w:ascii="Times New Roman"/>
          <w:szCs w:val="21"/>
        </w:rPr>
        <w:t xml:space="preserve"> </w:t>
      </w:r>
    </w:p>
    <w:p w:rsidR="0044479B" w:rsidRDefault="0044479B" w:rsidP="00DF51DB">
      <w:pPr>
        <w:ind w:firstLineChars="1300" w:firstLine="31680"/>
        <w:rPr>
          <w:rFonts w:ascii="Times New Roman"/>
          <w:szCs w:val="21"/>
        </w:rPr>
      </w:pPr>
      <w:r>
        <w:rPr>
          <w:rFonts w:ascii="Times New Roman" w:hint="eastAsia"/>
          <w:szCs w:val="21"/>
        </w:rPr>
        <w:t>参</w:t>
      </w:r>
      <w:r>
        <w:rPr>
          <w:rFonts w:ascii="Times New Roman"/>
          <w:szCs w:val="21"/>
        </w:rPr>
        <w:t xml:space="preserve"> </w:t>
      </w:r>
      <w:r>
        <w:rPr>
          <w:rFonts w:ascii="Times New Roman" w:hint="eastAsia"/>
          <w:szCs w:val="21"/>
        </w:rPr>
        <w:t>考</w:t>
      </w:r>
      <w:r>
        <w:rPr>
          <w:rFonts w:ascii="Times New Roman"/>
          <w:szCs w:val="21"/>
        </w:rPr>
        <w:t xml:space="preserve"> </w:t>
      </w:r>
      <w:r>
        <w:rPr>
          <w:rFonts w:ascii="Times New Roman" w:hint="eastAsia"/>
          <w:szCs w:val="21"/>
        </w:rPr>
        <w:t>文</w:t>
      </w:r>
      <w:r>
        <w:rPr>
          <w:rFonts w:ascii="Times New Roman"/>
          <w:szCs w:val="21"/>
        </w:rPr>
        <w:t xml:space="preserve"> </w:t>
      </w:r>
      <w:r>
        <w:rPr>
          <w:rFonts w:ascii="Times New Roman" w:hint="eastAsia"/>
          <w:szCs w:val="21"/>
        </w:rPr>
        <w:t>献</w:t>
      </w:r>
    </w:p>
    <w:p w:rsidR="0044479B" w:rsidRDefault="0044479B">
      <w:pPr>
        <w:rPr>
          <w:rFonts w:ascii="Times New Roman"/>
          <w:szCs w:val="21"/>
        </w:rPr>
      </w:pPr>
      <w:r>
        <w:rPr>
          <w:rFonts w:ascii="Times New Roman"/>
          <w:szCs w:val="21"/>
        </w:rPr>
        <w:t xml:space="preserve">1 </w:t>
      </w:r>
      <w:r>
        <w:rPr>
          <w:rFonts w:ascii="Times New Roman" w:hint="eastAsia"/>
          <w:szCs w:val="21"/>
        </w:rPr>
        <w:t>阳书坤</w:t>
      </w:r>
      <w:r>
        <w:rPr>
          <w:rFonts w:ascii="Times New Roman"/>
          <w:szCs w:val="21"/>
        </w:rPr>
        <w:t xml:space="preserve">, </w:t>
      </w:r>
      <w:r>
        <w:rPr>
          <w:rFonts w:ascii="Times New Roman" w:hint="eastAsia"/>
          <w:szCs w:val="21"/>
        </w:rPr>
        <w:t>张佳宾，余勤</w:t>
      </w:r>
      <w:r>
        <w:rPr>
          <w:rFonts w:ascii="Times New Roman"/>
          <w:szCs w:val="21"/>
        </w:rPr>
        <w:t xml:space="preserve">. </w:t>
      </w:r>
      <w:r>
        <w:rPr>
          <w:rFonts w:ascii="Times New Roman" w:hint="eastAsia"/>
          <w:szCs w:val="21"/>
        </w:rPr>
        <w:t>阻塞性睡眠呼吸暂停低通气综合征夜间不同时段呼吸暂停低通气次数与心律失常发生规律相关性研究</w:t>
      </w:r>
      <w:r>
        <w:rPr>
          <w:rFonts w:ascii="Times New Roman"/>
          <w:szCs w:val="21"/>
        </w:rPr>
        <w:t xml:space="preserve">. </w:t>
      </w:r>
      <w:r>
        <w:rPr>
          <w:rFonts w:ascii="Times New Roman" w:hint="eastAsia"/>
          <w:szCs w:val="21"/>
        </w:rPr>
        <w:t>中国实用内科杂志，</w:t>
      </w:r>
      <w:r>
        <w:rPr>
          <w:rFonts w:ascii="Times New Roman"/>
          <w:szCs w:val="21"/>
        </w:rPr>
        <w:t>2008,28</w:t>
      </w:r>
      <w:r>
        <w:rPr>
          <w:rFonts w:ascii="Times New Roman" w:hint="eastAsia"/>
          <w:szCs w:val="21"/>
        </w:rPr>
        <w:t>（</w:t>
      </w:r>
      <w:r>
        <w:rPr>
          <w:rFonts w:ascii="Times New Roman"/>
          <w:szCs w:val="21"/>
        </w:rPr>
        <w:t>4</w:t>
      </w:r>
      <w:r>
        <w:rPr>
          <w:rFonts w:ascii="Times New Roman" w:hint="eastAsia"/>
          <w:szCs w:val="21"/>
        </w:rPr>
        <w:t>）：</w:t>
      </w:r>
      <w:r>
        <w:rPr>
          <w:rFonts w:ascii="Times New Roman"/>
          <w:szCs w:val="21"/>
        </w:rPr>
        <w:t>274-276.</w:t>
      </w:r>
    </w:p>
    <w:p w:rsidR="0044479B" w:rsidRDefault="0044479B">
      <w:pPr>
        <w:rPr>
          <w:rFonts w:ascii="Times New Roman"/>
          <w:szCs w:val="21"/>
        </w:rPr>
      </w:pPr>
      <w:r>
        <w:rPr>
          <w:rFonts w:ascii="Times New Roman"/>
          <w:szCs w:val="21"/>
        </w:rPr>
        <w:t>2</w:t>
      </w:r>
      <w:r>
        <w:rPr>
          <w:rFonts w:ascii="Times New Roman" w:hint="eastAsia"/>
          <w:szCs w:val="21"/>
        </w:rPr>
        <w:t>马建林，马立宁，张银环，等</w:t>
      </w:r>
      <w:r>
        <w:rPr>
          <w:rFonts w:ascii="Times New Roman"/>
          <w:szCs w:val="21"/>
        </w:rPr>
        <w:t xml:space="preserve">. </w:t>
      </w:r>
      <w:r>
        <w:rPr>
          <w:rFonts w:ascii="Times New Roman" w:hint="eastAsia"/>
          <w:szCs w:val="21"/>
        </w:rPr>
        <w:t>不稳定型心绞痛合并高血压患者血栓形成前状态分子标志物的变化</w:t>
      </w:r>
      <w:r>
        <w:rPr>
          <w:rFonts w:ascii="Times New Roman"/>
          <w:szCs w:val="21"/>
        </w:rPr>
        <w:t xml:space="preserve">. </w:t>
      </w:r>
      <w:r>
        <w:rPr>
          <w:rFonts w:ascii="Times New Roman" w:hint="eastAsia"/>
          <w:szCs w:val="21"/>
        </w:rPr>
        <w:t>中华高血压杂志，</w:t>
      </w:r>
      <w:r>
        <w:rPr>
          <w:rFonts w:ascii="Times New Roman"/>
          <w:szCs w:val="21"/>
        </w:rPr>
        <w:t>2014,22</w:t>
      </w:r>
      <w:r>
        <w:rPr>
          <w:rFonts w:ascii="Times New Roman" w:hint="eastAsia"/>
          <w:szCs w:val="21"/>
        </w:rPr>
        <w:t>（</w:t>
      </w:r>
      <w:r>
        <w:rPr>
          <w:rFonts w:ascii="Times New Roman"/>
          <w:szCs w:val="21"/>
        </w:rPr>
        <w:t>10</w:t>
      </w:r>
      <w:r>
        <w:rPr>
          <w:rFonts w:ascii="Times New Roman" w:hint="eastAsia"/>
          <w:szCs w:val="21"/>
        </w:rPr>
        <w:t>）：</w:t>
      </w:r>
      <w:r>
        <w:rPr>
          <w:rFonts w:ascii="Times New Roman"/>
          <w:szCs w:val="21"/>
        </w:rPr>
        <w:t>981-984.</w:t>
      </w:r>
    </w:p>
    <w:p w:rsidR="0044479B" w:rsidRDefault="0044479B">
      <w:pPr>
        <w:rPr>
          <w:rFonts w:ascii="Times New Roman"/>
          <w:szCs w:val="21"/>
        </w:rPr>
      </w:pPr>
      <w:r>
        <w:rPr>
          <w:rFonts w:ascii="Times New Roman"/>
          <w:szCs w:val="21"/>
        </w:rPr>
        <w:t xml:space="preserve">3 </w:t>
      </w:r>
      <w:r>
        <w:rPr>
          <w:rFonts w:ascii="Times New Roman" w:hint="eastAsia"/>
          <w:szCs w:val="21"/>
        </w:rPr>
        <w:t>中华医学会呼吸病学分会睡眠呼吸障碍学组</w:t>
      </w:r>
      <w:r>
        <w:rPr>
          <w:rFonts w:ascii="Times New Roman"/>
          <w:szCs w:val="21"/>
        </w:rPr>
        <w:t xml:space="preserve">. </w:t>
      </w:r>
      <w:r>
        <w:rPr>
          <w:rFonts w:ascii="Times New Roman" w:hint="eastAsia"/>
          <w:szCs w:val="21"/>
        </w:rPr>
        <w:t>阻塞性睡眠呼吸暂停低通气综合征诊治指南（</w:t>
      </w:r>
      <w:r>
        <w:rPr>
          <w:rFonts w:ascii="Times New Roman"/>
          <w:szCs w:val="21"/>
        </w:rPr>
        <w:t>2011</w:t>
      </w:r>
      <w:r>
        <w:rPr>
          <w:rFonts w:ascii="Times New Roman" w:hint="eastAsia"/>
          <w:szCs w:val="21"/>
        </w:rPr>
        <w:t>年修订版）</w:t>
      </w:r>
      <w:r>
        <w:rPr>
          <w:rFonts w:ascii="Times New Roman"/>
          <w:szCs w:val="21"/>
        </w:rPr>
        <w:t>.</w:t>
      </w:r>
      <w:r>
        <w:rPr>
          <w:rFonts w:ascii="Times New Roman" w:hint="eastAsia"/>
          <w:szCs w:val="21"/>
        </w:rPr>
        <w:t>中华结核和呼吸杂志，</w:t>
      </w:r>
      <w:r>
        <w:rPr>
          <w:rFonts w:ascii="Times New Roman"/>
          <w:szCs w:val="21"/>
        </w:rPr>
        <w:t>2012,35:9-12.</w:t>
      </w:r>
    </w:p>
    <w:p w:rsidR="0044479B" w:rsidRDefault="0044479B">
      <w:pPr>
        <w:rPr>
          <w:rFonts w:ascii="Times New Roman"/>
          <w:szCs w:val="21"/>
        </w:rPr>
      </w:pPr>
      <w:r>
        <w:rPr>
          <w:rFonts w:ascii="Times New Roman"/>
          <w:szCs w:val="21"/>
        </w:rPr>
        <w:t xml:space="preserve">4 </w:t>
      </w:r>
      <w:r>
        <w:rPr>
          <w:rFonts w:ascii="Times New Roman" w:hint="eastAsia"/>
          <w:szCs w:val="21"/>
        </w:rPr>
        <w:t>王玮</w:t>
      </w:r>
      <w:r>
        <w:rPr>
          <w:rFonts w:ascii="Times New Roman"/>
          <w:szCs w:val="21"/>
        </w:rPr>
        <w:t xml:space="preserve">. </w:t>
      </w:r>
      <w:r>
        <w:rPr>
          <w:rFonts w:ascii="Times New Roman" w:hint="eastAsia"/>
          <w:szCs w:val="21"/>
        </w:rPr>
        <w:t>呼吸与危重病医学</w:t>
      </w:r>
      <w:r>
        <w:rPr>
          <w:rFonts w:ascii="Times New Roman"/>
          <w:szCs w:val="21"/>
        </w:rPr>
        <w:t xml:space="preserve">2010-2011. </w:t>
      </w:r>
      <w:r>
        <w:rPr>
          <w:rFonts w:ascii="Times New Roman" w:hint="eastAsia"/>
          <w:szCs w:val="21"/>
        </w:rPr>
        <w:t>北京：人民卫生出版社，</w:t>
      </w:r>
      <w:r>
        <w:rPr>
          <w:rFonts w:ascii="Times New Roman"/>
          <w:szCs w:val="21"/>
        </w:rPr>
        <w:t>2011:294-297.</w:t>
      </w:r>
    </w:p>
    <w:p w:rsidR="0044479B" w:rsidRPr="00095F37" w:rsidRDefault="0044479B" w:rsidP="00095F37">
      <w:pPr>
        <w:pStyle w:val="title1"/>
        <w:shd w:val="clear" w:color="auto" w:fill="FFFFFF"/>
        <w:rPr>
          <w:rFonts w:ascii="Times New Roman" w:hAnsi="Times New Roman" w:cs="Times New Roman"/>
          <w:sz w:val="21"/>
          <w:szCs w:val="21"/>
        </w:rPr>
      </w:pPr>
      <w:r>
        <w:rPr>
          <w:rFonts w:ascii="Times New Roman"/>
          <w:sz w:val="21"/>
          <w:szCs w:val="21"/>
        </w:rPr>
        <w:t xml:space="preserve">5 </w:t>
      </w:r>
      <w:r w:rsidRPr="00095F37">
        <w:rPr>
          <w:rFonts w:ascii="Times New Roman"/>
          <w:sz w:val="21"/>
          <w:szCs w:val="21"/>
        </w:rPr>
        <w:t xml:space="preserve"> </w:t>
      </w:r>
      <w:r w:rsidRPr="00095F37">
        <w:rPr>
          <w:rFonts w:ascii="Times New Roman" w:hAnsi="Times New Roman" w:cs="Times New Roman"/>
          <w:bCs/>
          <w:sz w:val="21"/>
          <w:szCs w:val="21"/>
        </w:rPr>
        <w:t>Song MK</w:t>
      </w:r>
      <w:r w:rsidRPr="00095F37">
        <w:rPr>
          <w:rFonts w:ascii="Times New Roman" w:hAnsi="Times New Roman" w:cs="Times New Roman"/>
          <w:sz w:val="21"/>
          <w:szCs w:val="21"/>
        </w:rPr>
        <w:t xml:space="preserve">, Ha JH, Ryu SH, et al. The effect of aging and severity of sleep apnea on heart rate variability indices in obstructive sleep apnea syndrome. </w:t>
      </w:r>
      <w:r w:rsidRPr="00095F37">
        <w:rPr>
          <w:rStyle w:val="jrnl"/>
          <w:rFonts w:ascii="Times New Roman" w:hAnsi="Times New Roman"/>
          <w:sz w:val="21"/>
          <w:szCs w:val="21"/>
        </w:rPr>
        <w:t>Psychiatry Investig</w:t>
      </w:r>
      <w:r w:rsidRPr="00095F37">
        <w:rPr>
          <w:rFonts w:ascii="Times New Roman" w:hAnsi="Times New Roman" w:cs="Times New Roman"/>
          <w:sz w:val="21"/>
          <w:szCs w:val="21"/>
        </w:rPr>
        <w:t>. 2012 ,9(1):65-72.</w:t>
      </w:r>
    </w:p>
    <w:p w:rsidR="0044479B" w:rsidRDefault="0044479B">
      <w:pPr>
        <w:rPr>
          <w:rFonts w:ascii="Times New Roman"/>
          <w:szCs w:val="21"/>
        </w:rPr>
      </w:pPr>
      <w:r>
        <w:rPr>
          <w:rFonts w:ascii="Times New Roman"/>
          <w:szCs w:val="21"/>
        </w:rPr>
        <w:t>6</w:t>
      </w:r>
      <w:r>
        <w:rPr>
          <w:rFonts w:ascii="Times New Roman" w:hint="eastAsia"/>
          <w:szCs w:val="21"/>
        </w:rPr>
        <w:t>阳书坤</w:t>
      </w:r>
      <w:r>
        <w:rPr>
          <w:rFonts w:ascii="Times New Roman"/>
          <w:szCs w:val="21"/>
        </w:rPr>
        <w:t xml:space="preserve">, </w:t>
      </w:r>
      <w:r>
        <w:rPr>
          <w:rFonts w:ascii="Times New Roman" w:hint="eastAsia"/>
          <w:szCs w:val="21"/>
        </w:rPr>
        <w:t>张佳宾，丘自挺，等</w:t>
      </w:r>
      <w:r>
        <w:rPr>
          <w:rFonts w:ascii="Times New Roman"/>
          <w:szCs w:val="21"/>
        </w:rPr>
        <w:t xml:space="preserve">. </w:t>
      </w:r>
      <w:r>
        <w:rPr>
          <w:rFonts w:ascii="Times New Roman" w:hint="eastAsia"/>
          <w:szCs w:val="21"/>
        </w:rPr>
        <w:t>阻塞性睡眠呼吸暂停患者血清</w:t>
      </w:r>
      <w:r>
        <w:rPr>
          <w:rFonts w:ascii="Times New Roman"/>
          <w:szCs w:val="21"/>
        </w:rPr>
        <w:t>Chemerin</w:t>
      </w:r>
      <w:r>
        <w:rPr>
          <w:rFonts w:ascii="Times New Roman" w:hint="eastAsia"/>
          <w:szCs w:val="21"/>
        </w:rPr>
        <w:t>水平与血管内皮功能的关系</w:t>
      </w:r>
      <w:r>
        <w:rPr>
          <w:rFonts w:ascii="Times New Roman"/>
          <w:szCs w:val="21"/>
        </w:rPr>
        <w:t xml:space="preserve">. </w:t>
      </w:r>
      <w:r>
        <w:rPr>
          <w:rFonts w:ascii="Times New Roman" w:hint="eastAsia"/>
          <w:szCs w:val="21"/>
        </w:rPr>
        <w:t>临床荟萃，</w:t>
      </w:r>
      <w:r>
        <w:rPr>
          <w:rFonts w:ascii="Times New Roman"/>
          <w:szCs w:val="21"/>
        </w:rPr>
        <w:t>2012,27</w:t>
      </w:r>
      <w:r>
        <w:rPr>
          <w:rFonts w:ascii="Times New Roman" w:hint="eastAsia"/>
          <w:szCs w:val="21"/>
        </w:rPr>
        <w:t>（</w:t>
      </w:r>
      <w:r>
        <w:rPr>
          <w:rFonts w:ascii="Times New Roman"/>
          <w:szCs w:val="21"/>
        </w:rPr>
        <w:t>13</w:t>
      </w:r>
      <w:r>
        <w:rPr>
          <w:rFonts w:ascii="Times New Roman" w:hint="eastAsia"/>
          <w:szCs w:val="21"/>
        </w:rPr>
        <w:t>）：</w:t>
      </w:r>
      <w:r>
        <w:rPr>
          <w:rFonts w:ascii="Times New Roman"/>
          <w:szCs w:val="21"/>
        </w:rPr>
        <w:t>1115-1117.</w:t>
      </w:r>
    </w:p>
    <w:p w:rsidR="0044479B" w:rsidRDefault="0044479B">
      <w:pPr>
        <w:rPr>
          <w:rFonts w:ascii="Times New Roman"/>
          <w:szCs w:val="21"/>
        </w:rPr>
      </w:pPr>
      <w:r>
        <w:rPr>
          <w:rFonts w:ascii="Times New Roman"/>
          <w:szCs w:val="21"/>
        </w:rPr>
        <w:t xml:space="preserve">7 </w:t>
      </w:r>
      <w:r>
        <w:rPr>
          <w:rFonts w:ascii="Times New Roman" w:hint="eastAsia"/>
          <w:szCs w:val="21"/>
        </w:rPr>
        <w:t>阳书坤</w:t>
      </w:r>
      <w:r>
        <w:rPr>
          <w:rFonts w:ascii="Times New Roman"/>
          <w:szCs w:val="21"/>
        </w:rPr>
        <w:t xml:space="preserve">, </w:t>
      </w:r>
      <w:r>
        <w:rPr>
          <w:rFonts w:ascii="Times New Roman" w:hint="eastAsia"/>
          <w:szCs w:val="21"/>
        </w:rPr>
        <w:t>霍开秀，徐福琴，等</w:t>
      </w:r>
      <w:r>
        <w:rPr>
          <w:rFonts w:ascii="Times New Roman"/>
          <w:szCs w:val="21"/>
        </w:rPr>
        <w:t>.</w:t>
      </w:r>
      <w:r w:rsidRPr="00095F37">
        <w:rPr>
          <w:rFonts w:ascii="Times New Roman"/>
          <w:szCs w:val="21"/>
        </w:rPr>
        <w:t xml:space="preserve"> </w:t>
      </w:r>
      <w:r>
        <w:rPr>
          <w:rFonts w:ascii="Times New Roman" w:hint="eastAsia"/>
          <w:szCs w:val="21"/>
        </w:rPr>
        <w:t>阻塞性睡眠呼吸暂停低通气综合征患者血浆内脂素水平与颈动脉内膜中层厚度的关系</w:t>
      </w:r>
      <w:r>
        <w:rPr>
          <w:rFonts w:ascii="Times New Roman"/>
          <w:szCs w:val="21"/>
        </w:rPr>
        <w:t xml:space="preserve">. </w:t>
      </w:r>
      <w:r>
        <w:rPr>
          <w:rFonts w:ascii="Times New Roman" w:hint="eastAsia"/>
          <w:szCs w:val="21"/>
        </w:rPr>
        <w:t>临床内科杂志，</w:t>
      </w:r>
      <w:r>
        <w:rPr>
          <w:rFonts w:ascii="Times New Roman"/>
          <w:szCs w:val="21"/>
        </w:rPr>
        <w:t>2013,30</w:t>
      </w:r>
      <w:r>
        <w:rPr>
          <w:rFonts w:ascii="Times New Roman" w:hint="eastAsia"/>
          <w:szCs w:val="21"/>
        </w:rPr>
        <w:t>（</w:t>
      </w:r>
      <w:r>
        <w:rPr>
          <w:rFonts w:ascii="Times New Roman"/>
          <w:szCs w:val="21"/>
        </w:rPr>
        <w:t>6</w:t>
      </w:r>
      <w:r>
        <w:rPr>
          <w:rFonts w:ascii="Times New Roman" w:hint="eastAsia"/>
          <w:szCs w:val="21"/>
        </w:rPr>
        <w:t>）：</w:t>
      </w:r>
      <w:r>
        <w:rPr>
          <w:rFonts w:ascii="Times New Roman"/>
          <w:szCs w:val="21"/>
        </w:rPr>
        <w:t>401-403.</w:t>
      </w:r>
    </w:p>
    <w:p w:rsidR="0044479B" w:rsidRDefault="0044479B" w:rsidP="00967416">
      <w:pPr>
        <w:pStyle w:val="title1"/>
        <w:shd w:val="clear" w:color="auto" w:fill="FFFFFF"/>
        <w:rPr>
          <w:rFonts w:ascii="Times New Roman" w:hAnsi="Times New Roman" w:cs="Times New Roman"/>
          <w:sz w:val="21"/>
          <w:szCs w:val="21"/>
        </w:rPr>
      </w:pPr>
      <w:r>
        <w:rPr>
          <w:rFonts w:ascii="Times New Roman"/>
          <w:sz w:val="21"/>
          <w:szCs w:val="21"/>
        </w:rPr>
        <w:t>8</w:t>
      </w:r>
      <w:r w:rsidRPr="00967416">
        <w:rPr>
          <w:rFonts w:ascii="Times New Roman"/>
          <w:sz w:val="21"/>
          <w:szCs w:val="21"/>
        </w:rPr>
        <w:t xml:space="preserve"> </w:t>
      </w:r>
      <w:r>
        <w:rPr>
          <w:rFonts w:ascii="Times New Roman"/>
          <w:sz w:val="21"/>
          <w:szCs w:val="21"/>
        </w:rPr>
        <w:t xml:space="preserve"> </w:t>
      </w:r>
      <w:r w:rsidRPr="00967416">
        <w:rPr>
          <w:rFonts w:ascii="Times New Roman" w:hAnsi="Times New Roman" w:cs="Times New Roman"/>
          <w:bCs/>
          <w:sz w:val="21"/>
          <w:szCs w:val="21"/>
        </w:rPr>
        <w:t>Gurbel PA</w:t>
      </w:r>
      <w:r w:rsidRPr="00967416">
        <w:rPr>
          <w:rFonts w:ascii="Times New Roman" w:hAnsi="Times New Roman" w:cs="Times New Roman"/>
          <w:sz w:val="21"/>
          <w:szCs w:val="21"/>
        </w:rPr>
        <w:t xml:space="preserve">, O'Connor CM, Dalesandro MR, et al. </w:t>
      </w:r>
      <w:hyperlink r:id="rId9" w:history="1">
        <w:r w:rsidRPr="00967416">
          <w:rPr>
            <w:rFonts w:ascii="Times New Roman" w:hAnsi="Times New Roman" w:cs="Times New Roman"/>
            <w:sz w:val="21"/>
            <w:szCs w:val="21"/>
          </w:rPr>
          <w:t>Relation of soluble and platelet P-selectin to early outcome in patients with acute myocardial infarction after thrombolytic therapy.</w:t>
        </w:r>
      </w:hyperlink>
      <w:r w:rsidRPr="00967416">
        <w:rPr>
          <w:rFonts w:ascii="Times New Roman" w:hAnsi="Times New Roman" w:cs="Times New Roman"/>
          <w:sz w:val="21"/>
          <w:szCs w:val="21"/>
        </w:rPr>
        <w:t xml:space="preserve"> </w:t>
      </w:r>
      <w:r w:rsidRPr="00967416">
        <w:rPr>
          <w:rStyle w:val="jrnl"/>
          <w:rFonts w:ascii="Times New Roman" w:hAnsi="Times New Roman"/>
          <w:sz w:val="21"/>
          <w:szCs w:val="21"/>
        </w:rPr>
        <w:t>Am J Cardiol</w:t>
      </w:r>
      <w:r w:rsidRPr="00967416">
        <w:rPr>
          <w:rFonts w:ascii="Times New Roman" w:hAnsi="Times New Roman" w:cs="Times New Roman"/>
          <w:sz w:val="21"/>
          <w:szCs w:val="21"/>
        </w:rPr>
        <w:t>. 2001,</w:t>
      </w:r>
      <w:r>
        <w:rPr>
          <w:rFonts w:ascii="Times New Roman" w:hAnsi="Times New Roman" w:cs="Times New Roman"/>
          <w:sz w:val="21"/>
          <w:szCs w:val="21"/>
        </w:rPr>
        <w:t>87(6):774-777.</w:t>
      </w:r>
    </w:p>
    <w:p w:rsidR="0044479B" w:rsidRDefault="0044479B" w:rsidP="00967416">
      <w:pPr>
        <w:pStyle w:val="title1"/>
        <w:shd w:val="clear" w:color="auto" w:fill="FFFFFF"/>
        <w:rPr>
          <w:rFonts w:ascii="Times New Roman" w:hAnsi="Times New Roman" w:cs="Times New Roman"/>
          <w:sz w:val="21"/>
          <w:szCs w:val="21"/>
        </w:rPr>
      </w:pPr>
      <w:r>
        <w:rPr>
          <w:rFonts w:ascii="Times New Roman" w:hAnsi="Times New Roman" w:cs="Times New Roman"/>
          <w:sz w:val="21"/>
          <w:szCs w:val="21"/>
        </w:rPr>
        <w:t xml:space="preserve">9 </w:t>
      </w:r>
      <w:r>
        <w:rPr>
          <w:rFonts w:ascii="Times New Roman" w:hAnsi="Times New Roman" w:cs="Times New Roman" w:hint="eastAsia"/>
          <w:sz w:val="21"/>
          <w:szCs w:val="21"/>
        </w:rPr>
        <w:t>张卿，门剑龙，吴琦，等</w:t>
      </w:r>
      <w:r>
        <w:rPr>
          <w:rFonts w:ascii="Times New Roman" w:hAnsi="Times New Roman" w:cs="Times New Roman"/>
          <w:sz w:val="21"/>
          <w:szCs w:val="21"/>
        </w:rPr>
        <w:t xml:space="preserve">. </w:t>
      </w:r>
      <w:r>
        <w:rPr>
          <w:rFonts w:ascii="Times New Roman" w:hAnsi="Times New Roman" w:cs="Times New Roman" w:hint="eastAsia"/>
          <w:sz w:val="21"/>
          <w:szCs w:val="21"/>
        </w:rPr>
        <w:t>血管性血友病因子在静脉血栓栓塞症中的作用</w:t>
      </w:r>
      <w:r>
        <w:rPr>
          <w:rFonts w:ascii="Times New Roman" w:hAnsi="Times New Roman" w:cs="Times New Roman"/>
          <w:sz w:val="21"/>
          <w:szCs w:val="21"/>
        </w:rPr>
        <w:t xml:space="preserve">. </w:t>
      </w:r>
      <w:r>
        <w:rPr>
          <w:rFonts w:ascii="Times New Roman" w:hAnsi="Times New Roman" w:cs="Times New Roman" w:hint="eastAsia"/>
          <w:sz w:val="21"/>
          <w:szCs w:val="21"/>
        </w:rPr>
        <w:t>临床荟萃，</w:t>
      </w:r>
      <w:r>
        <w:rPr>
          <w:rFonts w:ascii="Times New Roman" w:hAnsi="Times New Roman" w:cs="Times New Roman"/>
          <w:sz w:val="21"/>
          <w:szCs w:val="21"/>
        </w:rPr>
        <w:t>2010,25</w:t>
      </w:r>
      <w:r>
        <w:rPr>
          <w:rFonts w:ascii="Times New Roman" w:hAnsi="Times New Roman" w:cs="Times New Roman" w:hint="eastAsia"/>
          <w:sz w:val="21"/>
          <w:szCs w:val="21"/>
        </w:rPr>
        <w:t>（</w:t>
      </w:r>
      <w:r>
        <w:rPr>
          <w:rFonts w:ascii="Times New Roman" w:hAnsi="Times New Roman" w:cs="Times New Roman"/>
          <w:sz w:val="21"/>
          <w:szCs w:val="21"/>
        </w:rPr>
        <w:t>1</w:t>
      </w:r>
      <w:r>
        <w:rPr>
          <w:rFonts w:ascii="Times New Roman" w:hAnsi="Times New Roman" w:cs="Times New Roman" w:hint="eastAsia"/>
          <w:sz w:val="21"/>
          <w:szCs w:val="21"/>
        </w:rPr>
        <w:t>）：</w:t>
      </w:r>
      <w:r>
        <w:rPr>
          <w:rFonts w:ascii="Times New Roman" w:hAnsi="Times New Roman" w:cs="Times New Roman"/>
          <w:sz w:val="21"/>
          <w:szCs w:val="21"/>
        </w:rPr>
        <w:t>19-21.</w:t>
      </w:r>
    </w:p>
    <w:p w:rsidR="0044479B" w:rsidRPr="00104FF0" w:rsidRDefault="0044479B" w:rsidP="00104FF0">
      <w:pPr>
        <w:pStyle w:val="title1"/>
        <w:shd w:val="clear" w:color="auto" w:fill="FFFFFF"/>
        <w:rPr>
          <w:rFonts w:ascii="Times New Roman" w:hAnsi="Times New Roman" w:cs="Times New Roman"/>
          <w:sz w:val="21"/>
          <w:szCs w:val="21"/>
        </w:rPr>
      </w:pPr>
      <w:r>
        <w:rPr>
          <w:rFonts w:ascii="Times New Roman" w:hAnsi="Times New Roman" w:cs="Times New Roman"/>
          <w:sz w:val="21"/>
          <w:szCs w:val="21"/>
        </w:rPr>
        <w:t>10</w:t>
      </w:r>
      <w:r w:rsidRPr="00104FF0">
        <w:rPr>
          <w:rFonts w:ascii="Times New Roman" w:hAnsi="Times New Roman" w:cs="Times New Roman"/>
          <w:sz w:val="21"/>
          <w:szCs w:val="21"/>
        </w:rPr>
        <w:t xml:space="preserve">  Paixao AR, Ayers CR, Rohatgi A, et al. </w:t>
      </w:r>
      <w:hyperlink r:id="rId10" w:history="1">
        <w:r w:rsidRPr="00104FF0">
          <w:rPr>
            <w:rFonts w:ascii="Times New Roman" w:hAnsi="Times New Roman" w:cs="Times New Roman"/>
            <w:sz w:val="21"/>
            <w:szCs w:val="21"/>
          </w:rPr>
          <w:t>Cardiovascular lifetime risk predicts incidence of coronary calcification in individuals with low short-term risk: the Dallas Heart Study.</w:t>
        </w:r>
      </w:hyperlink>
    </w:p>
    <w:p w:rsidR="0044479B" w:rsidRPr="00104FF0" w:rsidRDefault="0044479B" w:rsidP="00104FF0">
      <w:pPr>
        <w:rPr>
          <w:rFonts w:ascii="Times New Roman" w:hAnsi="Times New Roman"/>
          <w:szCs w:val="21"/>
        </w:rPr>
      </w:pPr>
      <w:r w:rsidRPr="00104FF0">
        <w:rPr>
          <w:rStyle w:val="jrnl"/>
          <w:rFonts w:ascii="Times New Roman" w:hAnsi="Times New Roman"/>
          <w:szCs w:val="21"/>
        </w:rPr>
        <w:t>J Am Heart Assoc</w:t>
      </w:r>
      <w:r w:rsidRPr="00104FF0">
        <w:rPr>
          <w:rFonts w:ascii="Times New Roman" w:hAnsi="Times New Roman"/>
          <w:szCs w:val="21"/>
        </w:rPr>
        <w:t>. 2014</w:t>
      </w:r>
      <w:r w:rsidRPr="00104FF0">
        <w:rPr>
          <w:rFonts w:ascii="Times New Roman" w:hAnsi="Times New Roman" w:hint="eastAsia"/>
          <w:szCs w:val="21"/>
        </w:rPr>
        <w:t>，</w:t>
      </w:r>
      <w:r w:rsidRPr="00104FF0">
        <w:rPr>
          <w:rFonts w:ascii="Times New Roman" w:hAnsi="Times New Roman"/>
          <w:szCs w:val="21"/>
        </w:rPr>
        <w:t>25;3(6):e001280</w:t>
      </w:r>
      <w:r>
        <w:rPr>
          <w:rFonts w:ascii="Times New Roman" w:hAnsi="Times New Roman"/>
          <w:szCs w:val="21"/>
        </w:rPr>
        <w:t>.</w:t>
      </w:r>
    </w:p>
    <w:p w:rsidR="0044479B" w:rsidRPr="00DD7911" w:rsidRDefault="0044479B" w:rsidP="00DD7911">
      <w:pPr>
        <w:rPr>
          <w:rFonts w:ascii="Times New Roman" w:hAnsi="Times New Roman"/>
          <w:szCs w:val="21"/>
        </w:rPr>
      </w:pPr>
      <w:r>
        <w:t xml:space="preserve">11 </w:t>
      </w:r>
      <w:r w:rsidRPr="00132BE9">
        <w:rPr>
          <w:shd w:val="clear" w:color="auto" w:fill="FFFFFF"/>
        </w:rPr>
        <w:t>Sheikh AY, Chun HJ, Glassford AJ,et al.</w:t>
      </w:r>
      <w:r w:rsidRPr="00132BE9">
        <w:t xml:space="preserve"> </w:t>
      </w:r>
      <w:r w:rsidRPr="00132BE9">
        <w:rPr>
          <w:shd w:val="clear" w:color="auto" w:fill="FFFFFF"/>
        </w:rPr>
        <w:t>In</w:t>
      </w:r>
      <w:r w:rsidRPr="00132BE9">
        <w:t xml:space="preserve"> </w:t>
      </w:r>
      <w:r w:rsidRPr="00132BE9">
        <w:rPr>
          <w:shd w:val="clear" w:color="auto" w:fill="FFFFFF"/>
        </w:rPr>
        <w:t>vivo genetic profiling and cellular localization of apelin reveals a hypoxia-sensitive,</w:t>
      </w:r>
      <w:r w:rsidRPr="00132BE9">
        <w:t xml:space="preserve"> </w:t>
      </w:r>
      <w:hyperlink r:id="rId11" w:history="1">
        <w:r w:rsidRPr="00132BE9">
          <w:rPr>
            <w:rStyle w:val="Hyperlink"/>
            <w:rFonts w:ascii="Times New Roman" w:hAnsi="Times New Roman"/>
            <w:bCs/>
            <w:color w:val="auto"/>
            <w:szCs w:val="21"/>
            <w:u w:val="none"/>
            <w:shd w:val="clear" w:color="auto" w:fill="FFFFFF"/>
          </w:rPr>
          <w:t xml:space="preserve"> </w:t>
        </w:r>
        <w:r w:rsidRPr="00132BE9">
          <w:rPr>
            <w:rStyle w:val="Hyperlink"/>
            <w:rFonts w:ascii="Times New Roman" w:hAnsi="Times New Roman"/>
            <w:color w:val="auto"/>
            <w:szCs w:val="21"/>
            <w:u w:val="none"/>
            <w:shd w:val="clear" w:color="auto" w:fill="FFFFFF"/>
          </w:rPr>
          <w:t>endothelial-centered pathway activated</w:t>
        </w:r>
        <w:r w:rsidRPr="00132BE9">
          <w:rPr>
            <w:rStyle w:val="apple-converted-space"/>
            <w:rFonts w:ascii="Times New Roman" w:hAnsi="Times New Roman"/>
            <w:szCs w:val="21"/>
            <w:shd w:val="clear" w:color="auto" w:fill="FFFFFF"/>
          </w:rPr>
          <w:t> </w:t>
        </w:r>
        <w:r w:rsidRPr="00132BE9">
          <w:rPr>
            <w:rStyle w:val="Hyperlink"/>
            <w:rFonts w:ascii="Times New Roman" w:hAnsi="Times New Roman"/>
            <w:bCs/>
            <w:color w:val="auto"/>
            <w:szCs w:val="21"/>
            <w:u w:val="none"/>
            <w:shd w:val="clear" w:color="auto" w:fill="FFFFFF"/>
          </w:rPr>
          <w:t>in</w:t>
        </w:r>
        <w:r w:rsidRPr="00132BE9">
          <w:rPr>
            <w:rStyle w:val="apple-converted-space"/>
            <w:rFonts w:ascii="Times New Roman" w:hAnsi="Times New Roman"/>
            <w:szCs w:val="21"/>
            <w:shd w:val="clear" w:color="auto" w:fill="FFFFFF"/>
          </w:rPr>
          <w:t> </w:t>
        </w:r>
        <w:r w:rsidRPr="00132BE9">
          <w:rPr>
            <w:rStyle w:val="Hyperlink"/>
            <w:rFonts w:ascii="Times New Roman" w:hAnsi="Times New Roman"/>
            <w:color w:val="auto"/>
            <w:szCs w:val="21"/>
            <w:u w:val="none"/>
            <w:shd w:val="clear" w:color="auto" w:fill="FFFFFF"/>
          </w:rPr>
          <w:t>ischemic heart failure[J].</w:t>
        </w:r>
      </w:hyperlink>
      <w:r w:rsidRPr="00132BE9">
        <w:rPr>
          <w:rStyle w:val="jrnl"/>
          <w:rFonts w:ascii="Times New Roman" w:hAnsi="Times New Roman"/>
          <w:szCs w:val="21"/>
          <w:shd w:val="clear" w:color="auto" w:fill="FFFFFF"/>
        </w:rPr>
        <w:t xml:space="preserve"> Am J Physiol Heart Circ Physiol</w:t>
      </w:r>
      <w:r w:rsidRPr="00132BE9">
        <w:rPr>
          <w:shd w:val="clear" w:color="auto" w:fill="FFFFFF"/>
        </w:rPr>
        <w:t>, 2008,294(1):H88-98.</w:t>
      </w:r>
    </w:p>
    <w:p w:rsidR="0044479B" w:rsidRDefault="0044479B" w:rsidP="00DF51DB">
      <w:r>
        <w:rPr>
          <w:rFonts w:ascii="Times New Roman"/>
          <w:szCs w:val="21"/>
        </w:rPr>
        <w:t>12</w:t>
      </w:r>
      <w:r>
        <w:rPr>
          <w:rFonts w:ascii="Helvetica" w:hAnsi="Helvetica" w:cs="Helvetica" w:hint="eastAsia"/>
          <w:color w:val="000000"/>
          <w:szCs w:val="21"/>
        </w:rPr>
        <w:t>朱榆红，殷梅</w:t>
      </w:r>
      <w:r>
        <w:rPr>
          <w:rFonts w:ascii="Times New Roman" w:hAnsi="Times New Roman"/>
          <w:szCs w:val="21"/>
        </w:rPr>
        <w:t>.</w:t>
      </w:r>
      <w:r>
        <w:rPr>
          <w:rFonts w:ascii="Helvetica" w:hAnsi="Helvetica" w:cs="Helvetica" w:hint="eastAsia"/>
          <w:color w:val="000000"/>
          <w:szCs w:val="21"/>
        </w:rPr>
        <w:t>睡眠呼吸暂停低通气综合征致脑卒中的研究进展</w:t>
      </w:r>
      <w:r>
        <w:rPr>
          <w:rFonts w:ascii="Times New Roman" w:hAnsi="Times New Roman"/>
          <w:szCs w:val="21"/>
        </w:rPr>
        <w:t>.</w:t>
      </w:r>
      <w:r>
        <w:rPr>
          <w:rFonts w:ascii="Helvetica" w:hAnsi="Helvetica" w:cs="Helvetica" w:hint="eastAsia"/>
          <w:color w:val="000000"/>
          <w:szCs w:val="21"/>
        </w:rPr>
        <w:t>内科急危重症杂志，</w:t>
      </w:r>
      <w:r>
        <w:rPr>
          <w:rFonts w:ascii="Helvetica" w:hAnsi="Helvetica" w:cs="Helvetica"/>
          <w:color w:val="000000"/>
          <w:szCs w:val="21"/>
        </w:rPr>
        <w:t xml:space="preserve"> 2013 19</w:t>
      </w:r>
      <w:r>
        <w:rPr>
          <w:rFonts w:ascii="Helvetica" w:hAnsi="Helvetica" w:cs="Helvetica" w:hint="eastAsia"/>
          <w:color w:val="000000"/>
          <w:szCs w:val="21"/>
        </w:rPr>
        <w:t>（</w:t>
      </w:r>
      <w:r>
        <w:rPr>
          <w:rFonts w:ascii="Helvetica" w:hAnsi="Helvetica" w:cs="Helvetica"/>
          <w:color w:val="000000"/>
          <w:szCs w:val="21"/>
        </w:rPr>
        <w:t>2</w:t>
      </w:r>
      <w:r>
        <w:rPr>
          <w:rFonts w:ascii="Helvetica" w:hAnsi="Helvetica" w:cs="Helvetica" w:hint="eastAsia"/>
          <w:color w:val="000000"/>
          <w:szCs w:val="21"/>
        </w:rPr>
        <w:t>）：</w:t>
      </w:r>
      <w:r>
        <w:rPr>
          <w:rFonts w:ascii="Helvetica" w:hAnsi="Helvetica" w:cs="Helvetica"/>
          <w:color w:val="000000"/>
          <w:szCs w:val="21"/>
        </w:rPr>
        <w:t>69-70</w:t>
      </w:r>
      <w:r>
        <w:rPr>
          <w:rFonts w:ascii="Helvetica" w:hAnsi="Helvetica" w:cs="Helvetica"/>
          <w:color w:val="000000"/>
          <w:szCs w:val="21"/>
        </w:rPr>
        <w:br/>
      </w:r>
    </w:p>
    <w:p w:rsidR="0044479B" w:rsidRPr="0043782E" w:rsidRDefault="0044479B">
      <w:pPr>
        <w:rPr>
          <w:rFonts w:ascii="Times New Roman"/>
          <w:szCs w:val="21"/>
        </w:rPr>
      </w:pPr>
    </w:p>
    <w:sectPr w:rsidR="0044479B" w:rsidRPr="0043782E" w:rsidSect="00B4031B">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79B" w:rsidRDefault="0044479B" w:rsidP="00176939">
      <w:r>
        <w:separator/>
      </w:r>
    </w:p>
  </w:endnote>
  <w:endnote w:type="continuationSeparator" w:id="0">
    <w:p w:rsidR="0044479B" w:rsidRDefault="0044479B" w:rsidP="0017693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79B" w:rsidRDefault="0044479B" w:rsidP="004100BE">
    <w:pPr>
      <w:pStyle w:val="FootnoteText"/>
    </w:pPr>
    <w:r>
      <w:rPr>
        <w:rFonts w:hint="eastAsia"/>
      </w:rPr>
      <w:t>通信作者：谢江霞，</w:t>
    </w:r>
    <w:r>
      <w:t>E-mail:Doctoranna@126.com</w:t>
    </w:r>
  </w:p>
  <w:p w:rsidR="0044479B" w:rsidRDefault="004447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79B" w:rsidRDefault="0044479B" w:rsidP="00176939">
      <w:r>
        <w:separator/>
      </w:r>
    </w:p>
  </w:footnote>
  <w:footnote w:type="continuationSeparator" w:id="0">
    <w:p w:rsidR="0044479B" w:rsidRDefault="0044479B" w:rsidP="001769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6939"/>
    <w:rsid w:val="000006C2"/>
    <w:rsid w:val="0000585A"/>
    <w:rsid w:val="00040021"/>
    <w:rsid w:val="00046BE7"/>
    <w:rsid w:val="00074F2B"/>
    <w:rsid w:val="00077278"/>
    <w:rsid w:val="00095F37"/>
    <w:rsid w:val="000A112A"/>
    <w:rsid w:val="000D01AB"/>
    <w:rsid w:val="000E2211"/>
    <w:rsid w:val="00104FF0"/>
    <w:rsid w:val="00130734"/>
    <w:rsid w:val="00132BE9"/>
    <w:rsid w:val="0014229D"/>
    <w:rsid w:val="001664F6"/>
    <w:rsid w:val="00176939"/>
    <w:rsid w:val="001B2A8D"/>
    <w:rsid w:val="001B40B4"/>
    <w:rsid w:val="001D0F1C"/>
    <w:rsid w:val="001E0234"/>
    <w:rsid w:val="001E089D"/>
    <w:rsid w:val="001E1E7C"/>
    <w:rsid w:val="001F6230"/>
    <w:rsid w:val="00230B2E"/>
    <w:rsid w:val="002C12D6"/>
    <w:rsid w:val="002D7F04"/>
    <w:rsid w:val="002E6323"/>
    <w:rsid w:val="00304EAD"/>
    <w:rsid w:val="00346F3D"/>
    <w:rsid w:val="0035329C"/>
    <w:rsid w:val="003558F8"/>
    <w:rsid w:val="003801BC"/>
    <w:rsid w:val="003E19F3"/>
    <w:rsid w:val="003E45AF"/>
    <w:rsid w:val="004100BE"/>
    <w:rsid w:val="0043782E"/>
    <w:rsid w:val="0044479B"/>
    <w:rsid w:val="00455D18"/>
    <w:rsid w:val="00457A58"/>
    <w:rsid w:val="00466F48"/>
    <w:rsid w:val="004E0DDC"/>
    <w:rsid w:val="00527909"/>
    <w:rsid w:val="00533374"/>
    <w:rsid w:val="005507AF"/>
    <w:rsid w:val="005A705B"/>
    <w:rsid w:val="005C3010"/>
    <w:rsid w:val="005F74FA"/>
    <w:rsid w:val="006217BC"/>
    <w:rsid w:val="00621F79"/>
    <w:rsid w:val="006632C9"/>
    <w:rsid w:val="00670200"/>
    <w:rsid w:val="006841C1"/>
    <w:rsid w:val="006B5DBB"/>
    <w:rsid w:val="006C6F2E"/>
    <w:rsid w:val="006E0205"/>
    <w:rsid w:val="00725237"/>
    <w:rsid w:val="00730368"/>
    <w:rsid w:val="00735AE7"/>
    <w:rsid w:val="00742630"/>
    <w:rsid w:val="007705BC"/>
    <w:rsid w:val="007C56DE"/>
    <w:rsid w:val="00832301"/>
    <w:rsid w:val="00872ADB"/>
    <w:rsid w:val="00890AAB"/>
    <w:rsid w:val="008A7541"/>
    <w:rsid w:val="008D5CC7"/>
    <w:rsid w:val="008F0E13"/>
    <w:rsid w:val="008F0FE5"/>
    <w:rsid w:val="00967416"/>
    <w:rsid w:val="009859E1"/>
    <w:rsid w:val="00A101FF"/>
    <w:rsid w:val="00A23F48"/>
    <w:rsid w:val="00A31A63"/>
    <w:rsid w:val="00A82E2E"/>
    <w:rsid w:val="00A91146"/>
    <w:rsid w:val="00AA5A7D"/>
    <w:rsid w:val="00AB5B05"/>
    <w:rsid w:val="00AD0ACE"/>
    <w:rsid w:val="00AD6607"/>
    <w:rsid w:val="00AD7B66"/>
    <w:rsid w:val="00AF7008"/>
    <w:rsid w:val="00B12896"/>
    <w:rsid w:val="00B134BF"/>
    <w:rsid w:val="00B3158D"/>
    <w:rsid w:val="00B4031B"/>
    <w:rsid w:val="00B66CBE"/>
    <w:rsid w:val="00B76E78"/>
    <w:rsid w:val="00B81B95"/>
    <w:rsid w:val="00BA0B8B"/>
    <w:rsid w:val="00BB2B19"/>
    <w:rsid w:val="00BB6E8A"/>
    <w:rsid w:val="00C31B4F"/>
    <w:rsid w:val="00C321D2"/>
    <w:rsid w:val="00C45D7F"/>
    <w:rsid w:val="00C55F19"/>
    <w:rsid w:val="00C72753"/>
    <w:rsid w:val="00C92599"/>
    <w:rsid w:val="00DD7911"/>
    <w:rsid w:val="00DE1EA0"/>
    <w:rsid w:val="00DF51DB"/>
    <w:rsid w:val="00E105E0"/>
    <w:rsid w:val="00EC1C9B"/>
    <w:rsid w:val="00ED4F3C"/>
    <w:rsid w:val="00F201EE"/>
    <w:rsid w:val="00F25A75"/>
    <w:rsid w:val="00F637F0"/>
    <w:rsid w:val="00F730C7"/>
    <w:rsid w:val="00F76998"/>
    <w:rsid w:val="00F865B8"/>
    <w:rsid w:val="00FE10E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31B"/>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7693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176939"/>
    <w:rPr>
      <w:rFonts w:cs="Times New Roman"/>
      <w:sz w:val="18"/>
      <w:szCs w:val="18"/>
    </w:rPr>
  </w:style>
  <w:style w:type="paragraph" w:styleId="Footer">
    <w:name w:val="footer"/>
    <w:basedOn w:val="Normal"/>
    <w:link w:val="FooterChar"/>
    <w:uiPriority w:val="99"/>
    <w:semiHidden/>
    <w:rsid w:val="0017693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176939"/>
    <w:rPr>
      <w:rFonts w:cs="Times New Roman"/>
      <w:sz w:val="18"/>
      <w:szCs w:val="18"/>
    </w:rPr>
  </w:style>
  <w:style w:type="paragraph" w:styleId="Date">
    <w:name w:val="Date"/>
    <w:basedOn w:val="Normal"/>
    <w:next w:val="Normal"/>
    <w:link w:val="DateChar"/>
    <w:uiPriority w:val="99"/>
    <w:semiHidden/>
    <w:rsid w:val="00EC1C9B"/>
    <w:pPr>
      <w:ind w:leftChars="2500" w:left="100"/>
    </w:pPr>
  </w:style>
  <w:style w:type="character" w:customStyle="1" w:styleId="DateChar">
    <w:name w:val="Date Char"/>
    <w:basedOn w:val="DefaultParagraphFont"/>
    <w:link w:val="Date"/>
    <w:uiPriority w:val="99"/>
    <w:semiHidden/>
    <w:locked/>
    <w:rsid w:val="00EC1C9B"/>
    <w:rPr>
      <w:rFonts w:cs="Times New Roman"/>
    </w:rPr>
  </w:style>
  <w:style w:type="table" w:styleId="TableGrid">
    <w:name w:val="Table Grid"/>
    <w:basedOn w:val="TableNormal"/>
    <w:uiPriority w:val="99"/>
    <w:rsid w:val="00046BE7"/>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735AE7"/>
    <w:pPr>
      <w:snapToGrid w:val="0"/>
      <w:jc w:val="left"/>
    </w:pPr>
    <w:rPr>
      <w:sz w:val="18"/>
      <w:szCs w:val="18"/>
    </w:rPr>
  </w:style>
  <w:style w:type="character" w:customStyle="1" w:styleId="FootnoteTextChar">
    <w:name w:val="Footnote Text Char"/>
    <w:basedOn w:val="DefaultParagraphFont"/>
    <w:link w:val="FootnoteText"/>
    <w:uiPriority w:val="99"/>
    <w:semiHidden/>
    <w:locked/>
    <w:rsid w:val="00735AE7"/>
    <w:rPr>
      <w:rFonts w:cs="Times New Roman"/>
      <w:sz w:val="18"/>
      <w:szCs w:val="18"/>
    </w:rPr>
  </w:style>
  <w:style w:type="character" w:styleId="FootnoteReference">
    <w:name w:val="footnote reference"/>
    <w:basedOn w:val="DefaultParagraphFont"/>
    <w:uiPriority w:val="99"/>
    <w:semiHidden/>
    <w:rsid w:val="00735AE7"/>
    <w:rPr>
      <w:rFonts w:cs="Times New Roman"/>
      <w:vertAlign w:val="superscript"/>
    </w:rPr>
  </w:style>
  <w:style w:type="paragraph" w:customStyle="1" w:styleId="ordinary-output">
    <w:name w:val="ordinary-output"/>
    <w:basedOn w:val="Normal"/>
    <w:uiPriority w:val="99"/>
    <w:rsid w:val="00BB6E8A"/>
    <w:pPr>
      <w:widowControl/>
      <w:spacing w:before="100" w:beforeAutospacing="1" w:after="58" w:line="253" w:lineRule="atLeast"/>
      <w:jc w:val="left"/>
    </w:pPr>
    <w:rPr>
      <w:rFonts w:ascii="宋体" w:hAnsi="宋体" w:cs="宋体"/>
      <w:color w:val="333333"/>
      <w:kern w:val="0"/>
      <w:szCs w:val="21"/>
    </w:rPr>
  </w:style>
  <w:style w:type="paragraph" w:customStyle="1" w:styleId="title1">
    <w:name w:val="title1"/>
    <w:basedOn w:val="Normal"/>
    <w:uiPriority w:val="99"/>
    <w:rsid w:val="00095F37"/>
    <w:pPr>
      <w:widowControl/>
      <w:jc w:val="left"/>
    </w:pPr>
    <w:rPr>
      <w:rFonts w:ascii="宋体" w:hAnsi="宋体" w:cs="宋体"/>
      <w:kern w:val="0"/>
      <w:sz w:val="27"/>
      <w:szCs w:val="27"/>
    </w:rPr>
  </w:style>
  <w:style w:type="character" w:customStyle="1" w:styleId="jrnl">
    <w:name w:val="jrnl"/>
    <w:basedOn w:val="DefaultParagraphFont"/>
    <w:uiPriority w:val="99"/>
    <w:rsid w:val="00095F37"/>
    <w:rPr>
      <w:rFonts w:cs="Times New Roman"/>
    </w:rPr>
  </w:style>
  <w:style w:type="character" w:styleId="Hyperlink">
    <w:name w:val="Hyperlink"/>
    <w:basedOn w:val="DefaultParagraphFont"/>
    <w:uiPriority w:val="99"/>
    <w:rsid w:val="005507AF"/>
    <w:rPr>
      <w:rFonts w:cs="Times New Roman"/>
      <w:color w:val="0000FF"/>
      <w:u w:val="single"/>
    </w:rPr>
  </w:style>
  <w:style w:type="character" w:customStyle="1" w:styleId="apple-converted-space">
    <w:name w:val="apple-converted-space"/>
    <w:basedOn w:val="DefaultParagraphFont"/>
    <w:uiPriority w:val="99"/>
    <w:rsid w:val="005507AF"/>
    <w:rPr>
      <w:rFonts w:cs="Times New Roman"/>
    </w:rPr>
  </w:style>
</w:styles>
</file>

<file path=word/webSettings.xml><?xml version="1.0" encoding="utf-8"?>
<w:webSettings xmlns:r="http://schemas.openxmlformats.org/officeDocument/2006/relationships" xmlns:w="http://schemas.openxmlformats.org/wordprocessingml/2006/main">
  <w:divs>
    <w:div w:id="68700216">
      <w:marLeft w:val="0"/>
      <w:marRight w:val="0"/>
      <w:marTop w:val="0"/>
      <w:marBottom w:val="0"/>
      <w:divBdr>
        <w:top w:val="none" w:sz="0" w:space="0" w:color="auto"/>
        <w:left w:val="none" w:sz="0" w:space="0" w:color="auto"/>
        <w:bottom w:val="none" w:sz="0" w:space="0" w:color="auto"/>
        <w:right w:val="none" w:sz="0" w:space="0" w:color="auto"/>
      </w:divBdr>
      <w:divsChild>
        <w:div w:id="68700225">
          <w:marLeft w:val="0"/>
          <w:marRight w:val="0"/>
          <w:marTop w:val="0"/>
          <w:marBottom w:val="0"/>
          <w:divBdr>
            <w:top w:val="none" w:sz="0" w:space="0" w:color="auto"/>
            <w:left w:val="none" w:sz="0" w:space="0" w:color="auto"/>
            <w:bottom w:val="none" w:sz="0" w:space="0" w:color="auto"/>
            <w:right w:val="none" w:sz="0" w:space="0" w:color="auto"/>
          </w:divBdr>
          <w:divsChild>
            <w:div w:id="68700211">
              <w:marLeft w:val="0"/>
              <w:marRight w:val="0"/>
              <w:marTop w:val="0"/>
              <w:marBottom w:val="0"/>
              <w:divBdr>
                <w:top w:val="none" w:sz="0" w:space="0" w:color="auto"/>
                <w:left w:val="none" w:sz="0" w:space="0" w:color="auto"/>
                <w:bottom w:val="none" w:sz="0" w:space="0" w:color="auto"/>
                <w:right w:val="none" w:sz="0" w:space="0" w:color="auto"/>
              </w:divBdr>
              <w:divsChild>
                <w:div w:id="68700217">
                  <w:marLeft w:val="0"/>
                  <w:marRight w:val="0"/>
                  <w:marTop w:val="0"/>
                  <w:marBottom w:val="0"/>
                  <w:divBdr>
                    <w:top w:val="none" w:sz="0" w:space="0" w:color="auto"/>
                    <w:left w:val="none" w:sz="0" w:space="0" w:color="auto"/>
                    <w:bottom w:val="none" w:sz="0" w:space="0" w:color="auto"/>
                    <w:right w:val="none" w:sz="0" w:space="0" w:color="auto"/>
                  </w:divBdr>
                  <w:divsChild>
                    <w:div w:id="68700223">
                      <w:marLeft w:val="0"/>
                      <w:marRight w:val="0"/>
                      <w:marTop w:val="0"/>
                      <w:marBottom w:val="0"/>
                      <w:divBdr>
                        <w:top w:val="none" w:sz="0" w:space="0" w:color="auto"/>
                        <w:left w:val="none" w:sz="0" w:space="0" w:color="auto"/>
                        <w:bottom w:val="none" w:sz="0" w:space="0" w:color="auto"/>
                        <w:right w:val="none" w:sz="0" w:space="0" w:color="auto"/>
                      </w:divBdr>
                      <w:divsChild>
                        <w:div w:id="68700226">
                          <w:marLeft w:val="0"/>
                          <w:marRight w:val="0"/>
                          <w:marTop w:val="0"/>
                          <w:marBottom w:val="1382"/>
                          <w:divBdr>
                            <w:top w:val="none" w:sz="0" w:space="0" w:color="auto"/>
                            <w:left w:val="none" w:sz="0" w:space="0" w:color="auto"/>
                            <w:bottom w:val="none" w:sz="0" w:space="0" w:color="auto"/>
                            <w:right w:val="none" w:sz="0" w:space="0" w:color="auto"/>
                          </w:divBdr>
                          <w:divsChild>
                            <w:div w:id="68700206">
                              <w:marLeft w:val="0"/>
                              <w:marRight w:val="0"/>
                              <w:marTop w:val="0"/>
                              <w:marBottom w:val="0"/>
                              <w:divBdr>
                                <w:top w:val="none" w:sz="0" w:space="0" w:color="auto"/>
                                <w:left w:val="none" w:sz="0" w:space="0" w:color="auto"/>
                                <w:bottom w:val="none" w:sz="0" w:space="0" w:color="auto"/>
                                <w:right w:val="none" w:sz="0" w:space="0" w:color="auto"/>
                              </w:divBdr>
                              <w:divsChild>
                                <w:div w:id="68700221">
                                  <w:marLeft w:val="0"/>
                                  <w:marRight w:val="0"/>
                                  <w:marTop w:val="0"/>
                                  <w:marBottom w:val="0"/>
                                  <w:divBdr>
                                    <w:top w:val="none" w:sz="0" w:space="0" w:color="auto"/>
                                    <w:left w:val="none" w:sz="0" w:space="0" w:color="auto"/>
                                    <w:bottom w:val="none" w:sz="0" w:space="0" w:color="auto"/>
                                    <w:right w:val="none" w:sz="0" w:space="0" w:color="auto"/>
                                  </w:divBdr>
                                  <w:divsChild>
                                    <w:div w:id="68700207">
                                      <w:marLeft w:val="0"/>
                                      <w:marRight w:val="0"/>
                                      <w:marTop w:val="0"/>
                                      <w:marBottom w:val="0"/>
                                      <w:divBdr>
                                        <w:top w:val="none" w:sz="0" w:space="0" w:color="auto"/>
                                        <w:left w:val="none" w:sz="0" w:space="0" w:color="auto"/>
                                        <w:bottom w:val="none" w:sz="0" w:space="0" w:color="auto"/>
                                        <w:right w:val="none" w:sz="0" w:space="0" w:color="auto"/>
                                      </w:divBdr>
                                      <w:divsChild>
                                        <w:div w:id="68700205">
                                          <w:marLeft w:val="0"/>
                                          <w:marRight w:val="0"/>
                                          <w:marTop w:val="0"/>
                                          <w:marBottom w:val="0"/>
                                          <w:divBdr>
                                            <w:top w:val="none" w:sz="0" w:space="0" w:color="auto"/>
                                            <w:left w:val="none" w:sz="0" w:space="0" w:color="auto"/>
                                            <w:bottom w:val="none" w:sz="0" w:space="0" w:color="auto"/>
                                            <w:right w:val="none" w:sz="0" w:space="0" w:color="auto"/>
                                          </w:divBdr>
                                          <w:divsChild>
                                            <w:div w:id="68700222">
                                              <w:marLeft w:val="0"/>
                                              <w:marRight w:val="0"/>
                                              <w:marTop w:val="0"/>
                                              <w:marBottom w:val="0"/>
                                              <w:divBdr>
                                                <w:top w:val="none" w:sz="0" w:space="0" w:color="auto"/>
                                                <w:left w:val="none" w:sz="0" w:space="0" w:color="auto"/>
                                                <w:bottom w:val="none" w:sz="0" w:space="0" w:color="auto"/>
                                                <w:right w:val="none" w:sz="0" w:space="0" w:color="auto"/>
                                              </w:divBdr>
                                              <w:divsChild>
                                                <w:div w:id="68700220">
                                                  <w:marLeft w:val="0"/>
                                                  <w:marRight w:val="0"/>
                                                  <w:marTop w:val="0"/>
                                                  <w:marBottom w:val="0"/>
                                                  <w:divBdr>
                                                    <w:top w:val="single" w:sz="4" w:space="6" w:color="E6E6E6"/>
                                                    <w:left w:val="single" w:sz="4" w:space="6" w:color="E6E6E6"/>
                                                    <w:bottom w:val="single" w:sz="4" w:space="6" w:color="E6E6E6"/>
                                                    <w:right w:val="single" w:sz="4" w:space="6" w:color="E6E6E6"/>
                                                  </w:divBdr>
                                                  <w:divsChild>
                                                    <w:div w:id="687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700228">
      <w:marLeft w:val="0"/>
      <w:marRight w:val="0"/>
      <w:marTop w:val="0"/>
      <w:marBottom w:val="0"/>
      <w:divBdr>
        <w:top w:val="none" w:sz="0" w:space="0" w:color="auto"/>
        <w:left w:val="none" w:sz="0" w:space="0" w:color="auto"/>
        <w:bottom w:val="none" w:sz="0" w:space="0" w:color="auto"/>
        <w:right w:val="none" w:sz="0" w:space="0" w:color="auto"/>
      </w:divBdr>
      <w:divsChild>
        <w:div w:id="68700215">
          <w:marLeft w:val="0"/>
          <w:marRight w:val="0"/>
          <w:marTop w:val="0"/>
          <w:marBottom w:val="0"/>
          <w:divBdr>
            <w:top w:val="none" w:sz="0" w:space="0" w:color="auto"/>
            <w:left w:val="none" w:sz="0" w:space="0" w:color="auto"/>
            <w:bottom w:val="none" w:sz="0" w:space="0" w:color="auto"/>
            <w:right w:val="none" w:sz="0" w:space="0" w:color="auto"/>
          </w:divBdr>
          <w:divsChild>
            <w:div w:id="68700210">
              <w:marLeft w:val="0"/>
              <w:marRight w:val="0"/>
              <w:marTop w:val="0"/>
              <w:marBottom w:val="0"/>
              <w:divBdr>
                <w:top w:val="none" w:sz="0" w:space="0" w:color="auto"/>
                <w:left w:val="none" w:sz="0" w:space="0" w:color="auto"/>
                <w:bottom w:val="none" w:sz="0" w:space="0" w:color="auto"/>
                <w:right w:val="none" w:sz="0" w:space="0" w:color="auto"/>
              </w:divBdr>
              <w:divsChild>
                <w:div w:id="68700214">
                  <w:marLeft w:val="0"/>
                  <w:marRight w:val="0"/>
                  <w:marTop w:val="0"/>
                  <w:marBottom w:val="0"/>
                  <w:divBdr>
                    <w:top w:val="none" w:sz="0" w:space="0" w:color="auto"/>
                    <w:left w:val="none" w:sz="0" w:space="0" w:color="auto"/>
                    <w:bottom w:val="none" w:sz="0" w:space="0" w:color="auto"/>
                    <w:right w:val="none" w:sz="0" w:space="0" w:color="auto"/>
                  </w:divBdr>
                  <w:divsChild>
                    <w:div w:id="68700212">
                      <w:marLeft w:val="0"/>
                      <w:marRight w:val="0"/>
                      <w:marTop w:val="0"/>
                      <w:marBottom w:val="0"/>
                      <w:divBdr>
                        <w:top w:val="none" w:sz="0" w:space="0" w:color="auto"/>
                        <w:left w:val="none" w:sz="0" w:space="0" w:color="auto"/>
                        <w:bottom w:val="none" w:sz="0" w:space="0" w:color="auto"/>
                        <w:right w:val="none" w:sz="0" w:space="0" w:color="auto"/>
                      </w:divBdr>
                      <w:divsChild>
                        <w:div w:id="68700224">
                          <w:marLeft w:val="0"/>
                          <w:marRight w:val="0"/>
                          <w:marTop w:val="0"/>
                          <w:marBottom w:val="1382"/>
                          <w:divBdr>
                            <w:top w:val="none" w:sz="0" w:space="0" w:color="auto"/>
                            <w:left w:val="none" w:sz="0" w:space="0" w:color="auto"/>
                            <w:bottom w:val="none" w:sz="0" w:space="0" w:color="auto"/>
                            <w:right w:val="none" w:sz="0" w:space="0" w:color="auto"/>
                          </w:divBdr>
                          <w:divsChild>
                            <w:div w:id="68700219">
                              <w:marLeft w:val="0"/>
                              <w:marRight w:val="0"/>
                              <w:marTop w:val="0"/>
                              <w:marBottom w:val="0"/>
                              <w:divBdr>
                                <w:top w:val="none" w:sz="0" w:space="0" w:color="auto"/>
                                <w:left w:val="none" w:sz="0" w:space="0" w:color="auto"/>
                                <w:bottom w:val="none" w:sz="0" w:space="0" w:color="auto"/>
                                <w:right w:val="none" w:sz="0" w:space="0" w:color="auto"/>
                              </w:divBdr>
                              <w:divsChild>
                                <w:div w:id="68700218">
                                  <w:marLeft w:val="0"/>
                                  <w:marRight w:val="0"/>
                                  <w:marTop w:val="0"/>
                                  <w:marBottom w:val="0"/>
                                  <w:divBdr>
                                    <w:top w:val="none" w:sz="0" w:space="0" w:color="auto"/>
                                    <w:left w:val="none" w:sz="0" w:space="0" w:color="auto"/>
                                    <w:bottom w:val="none" w:sz="0" w:space="0" w:color="auto"/>
                                    <w:right w:val="none" w:sz="0" w:space="0" w:color="auto"/>
                                  </w:divBdr>
                                  <w:divsChild>
                                    <w:div w:id="68700204">
                                      <w:marLeft w:val="0"/>
                                      <w:marRight w:val="0"/>
                                      <w:marTop w:val="0"/>
                                      <w:marBottom w:val="0"/>
                                      <w:divBdr>
                                        <w:top w:val="none" w:sz="0" w:space="0" w:color="auto"/>
                                        <w:left w:val="none" w:sz="0" w:space="0" w:color="auto"/>
                                        <w:bottom w:val="none" w:sz="0" w:space="0" w:color="auto"/>
                                        <w:right w:val="none" w:sz="0" w:space="0" w:color="auto"/>
                                      </w:divBdr>
                                      <w:divsChild>
                                        <w:div w:id="68700213">
                                          <w:marLeft w:val="0"/>
                                          <w:marRight w:val="0"/>
                                          <w:marTop w:val="0"/>
                                          <w:marBottom w:val="0"/>
                                          <w:divBdr>
                                            <w:top w:val="none" w:sz="0" w:space="0" w:color="auto"/>
                                            <w:left w:val="none" w:sz="0" w:space="0" w:color="auto"/>
                                            <w:bottom w:val="none" w:sz="0" w:space="0" w:color="auto"/>
                                            <w:right w:val="none" w:sz="0" w:space="0" w:color="auto"/>
                                          </w:divBdr>
                                          <w:divsChild>
                                            <w:div w:id="68700229">
                                              <w:marLeft w:val="0"/>
                                              <w:marRight w:val="0"/>
                                              <w:marTop w:val="0"/>
                                              <w:marBottom w:val="0"/>
                                              <w:divBdr>
                                                <w:top w:val="none" w:sz="0" w:space="0" w:color="auto"/>
                                                <w:left w:val="none" w:sz="0" w:space="0" w:color="auto"/>
                                                <w:bottom w:val="none" w:sz="0" w:space="0" w:color="auto"/>
                                                <w:right w:val="none" w:sz="0" w:space="0" w:color="auto"/>
                                              </w:divBdr>
                                              <w:divsChild>
                                                <w:div w:id="68700209">
                                                  <w:marLeft w:val="0"/>
                                                  <w:marRight w:val="0"/>
                                                  <w:marTop w:val="0"/>
                                                  <w:marBottom w:val="0"/>
                                                  <w:divBdr>
                                                    <w:top w:val="single" w:sz="4" w:space="6" w:color="E6E6E6"/>
                                                    <w:left w:val="single" w:sz="4" w:space="6" w:color="E6E6E6"/>
                                                    <w:bottom w:val="single" w:sz="4" w:space="6" w:color="E6E6E6"/>
                                                    <w:right w:val="single" w:sz="4" w:space="6" w:color="E6E6E6"/>
                                                  </w:divBdr>
                                                  <w:divsChild>
                                                    <w:div w:id="687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http://www.ncbi.nlm.nih.gov/pubmed/17906101" TargetMode="External"/><Relationship Id="rId5" Type="http://schemas.openxmlformats.org/officeDocument/2006/relationships/endnotes" Target="endnotes.xml"/><Relationship Id="rId10" Type="http://schemas.openxmlformats.org/officeDocument/2006/relationships/hyperlink" Target="http://www.ncbi.nlm.nih.gov/pubmed/25424574" TargetMode="External"/><Relationship Id="rId4" Type="http://schemas.openxmlformats.org/officeDocument/2006/relationships/footnotes" Target="footnotes.xml"/><Relationship Id="rId9" Type="http://schemas.openxmlformats.org/officeDocument/2006/relationships/hyperlink" Target="http://www.ncbi.nlm.nih.gov/pubmed/112499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557</TotalTime>
  <Pages>4</Pages>
  <Words>1262</Words>
  <Characters>7200</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微软拥护</cp:lastModifiedBy>
  <cp:revision>55</cp:revision>
  <dcterms:created xsi:type="dcterms:W3CDTF">2015-03-02T13:54:00Z</dcterms:created>
  <dcterms:modified xsi:type="dcterms:W3CDTF">2015-04-19T13:38:00Z</dcterms:modified>
</cp:coreProperties>
</file>